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Look w:val="01E0" w:firstRow="1" w:lastRow="1" w:firstColumn="1" w:lastColumn="1" w:noHBand="0" w:noVBand="0"/>
      </w:tblPr>
      <w:tblGrid>
        <w:gridCol w:w="3227"/>
        <w:gridCol w:w="5812"/>
      </w:tblGrid>
      <w:tr w:rsidR="00692001" w:rsidRPr="00471EA7" w14:paraId="2BB0E8A4" w14:textId="77777777" w:rsidTr="00692001">
        <w:trPr>
          <w:trHeight w:val="1135"/>
        </w:trPr>
        <w:tc>
          <w:tcPr>
            <w:tcW w:w="3227" w:type="dxa"/>
          </w:tcPr>
          <w:p w14:paraId="7C19B358" w14:textId="77777777" w:rsidR="00692001" w:rsidRPr="00471EA7" w:rsidRDefault="00692001" w:rsidP="0046310E">
            <w:pPr>
              <w:widowControl w:val="0"/>
              <w:adjustRightInd w:val="0"/>
              <w:snapToGrid w:val="0"/>
              <w:spacing w:after="0" w:line="240" w:lineRule="auto"/>
              <w:jc w:val="center"/>
              <w:rPr>
                <w:rFonts w:ascii="Times New Roman" w:eastAsia="Times New Roman" w:hAnsi="Times New Roman" w:cs="Times New Roman"/>
                <w:b/>
                <w:noProof/>
                <w:sz w:val="26"/>
                <w:szCs w:val="28"/>
              </w:rPr>
            </w:pPr>
            <w:r w:rsidRPr="00471EA7">
              <w:rPr>
                <w:rFonts w:ascii="Times New Roman" w:eastAsia="Times New Roman" w:hAnsi="Times New Roman" w:cs="Times New Roman"/>
                <w:b/>
                <w:noProof/>
                <w:sz w:val="26"/>
                <w:szCs w:val="28"/>
              </w:rPr>
              <w:t>CHÍNH PHỦ</w:t>
            </w:r>
          </w:p>
          <w:p w14:paraId="010222F2" w14:textId="77777777" w:rsidR="00692001" w:rsidRPr="00471EA7" w:rsidRDefault="00692001" w:rsidP="0046310E">
            <w:pPr>
              <w:widowControl w:val="0"/>
              <w:adjustRightInd w:val="0"/>
              <w:snapToGrid w:val="0"/>
              <w:spacing w:after="0" w:line="240" w:lineRule="auto"/>
              <w:jc w:val="center"/>
              <w:rPr>
                <w:rFonts w:ascii="Times New Roman" w:eastAsia="Times New Roman" w:hAnsi="Times New Roman" w:cs="Times New Roman"/>
                <w:noProof/>
                <w:sz w:val="26"/>
                <w:szCs w:val="28"/>
                <w:vertAlign w:val="superscript"/>
              </w:rPr>
            </w:pPr>
            <w:r>
              <w:rPr>
                <w:rFonts w:ascii="Times New Roman" w:eastAsia="Times New Roman" w:hAnsi="Times New Roman" w:cs="Times New Roman"/>
                <w:noProof/>
                <w:sz w:val="26"/>
                <w:szCs w:val="28"/>
                <w:vertAlign w:val="superscript"/>
              </w:rPr>
              <w:t>_________</w:t>
            </w:r>
          </w:p>
          <w:p w14:paraId="7330981E" w14:textId="77777777" w:rsidR="00692001" w:rsidRDefault="00692001" w:rsidP="0046310E">
            <w:pPr>
              <w:widowControl w:val="0"/>
              <w:tabs>
                <w:tab w:val="left" w:pos="1142"/>
              </w:tabs>
              <w:adjustRightInd w:val="0"/>
              <w:snapToGrid w:val="0"/>
              <w:spacing w:after="0" w:line="240" w:lineRule="auto"/>
              <w:jc w:val="center"/>
              <w:rPr>
                <w:rFonts w:ascii="Times New Roman" w:eastAsia="Times New Roman" w:hAnsi="Times New Roman" w:cs="Times New Roman"/>
                <w:noProof/>
                <w:sz w:val="26"/>
                <w:szCs w:val="28"/>
              </w:rPr>
            </w:pPr>
          </w:p>
          <w:p w14:paraId="4A0347A6" w14:textId="60875B03" w:rsidR="00692001" w:rsidRPr="00471EA7" w:rsidRDefault="00692001" w:rsidP="0072194E">
            <w:pPr>
              <w:widowControl w:val="0"/>
              <w:tabs>
                <w:tab w:val="left" w:pos="1142"/>
              </w:tabs>
              <w:adjustRightInd w:val="0"/>
              <w:snapToGrid w:val="0"/>
              <w:spacing w:after="0" w:line="240" w:lineRule="auto"/>
              <w:jc w:val="center"/>
              <w:rPr>
                <w:rFonts w:ascii="Times New Roman" w:eastAsia="Times New Roman" w:hAnsi="Times New Roman" w:cs="Times New Roman"/>
                <w:b/>
                <w:sz w:val="26"/>
                <w:szCs w:val="28"/>
              </w:rPr>
            </w:pPr>
            <w:r w:rsidRPr="00471EA7">
              <w:rPr>
                <w:rFonts w:ascii="Times New Roman" w:eastAsia="Times New Roman" w:hAnsi="Times New Roman" w:cs="Times New Roman"/>
                <w:noProof/>
                <w:sz w:val="26"/>
                <w:szCs w:val="28"/>
              </w:rPr>
              <w:t xml:space="preserve">Số:  </w:t>
            </w:r>
            <w:r w:rsidRPr="00471EA7">
              <w:rPr>
                <w:rFonts w:ascii="Times New Roman" w:eastAsia="Times New Roman" w:hAnsi="Times New Roman" w:cs="Times New Roman"/>
                <w:b/>
                <w:noProof/>
                <w:sz w:val="26"/>
                <w:szCs w:val="28"/>
              </w:rPr>
              <w:t xml:space="preserve">     </w:t>
            </w:r>
            <w:r w:rsidR="0072194E">
              <w:rPr>
                <w:rFonts w:ascii="Times New Roman" w:eastAsia="Times New Roman" w:hAnsi="Times New Roman" w:cs="Times New Roman"/>
                <w:b/>
                <w:noProof/>
                <w:sz w:val="26"/>
                <w:szCs w:val="28"/>
              </w:rPr>
              <w:t>122</w:t>
            </w:r>
            <w:r w:rsidRPr="00471EA7">
              <w:rPr>
                <w:rFonts w:ascii="Times New Roman" w:eastAsia="Times New Roman" w:hAnsi="Times New Roman" w:cs="Times New Roman"/>
                <w:b/>
                <w:noProof/>
                <w:sz w:val="26"/>
                <w:szCs w:val="28"/>
              </w:rPr>
              <w:t xml:space="preserve"> </w:t>
            </w:r>
            <w:r w:rsidRPr="00471EA7">
              <w:rPr>
                <w:rFonts w:ascii="Times New Roman" w:eastAsia="Times New Roman" w:hAnsi="Times New Roman" w:cs="Times New Roman"/>
                <w:noProof/>
                <w:sz w:val="26"/>
                <w:szCs w:val="28"/>
              </w:rPr>
              <w:t>/2024/NĐ-CP</w:t>
            </w:r>
          </w:p>
        </w:tc>
        <w:tc>
          <w:tcPr>
            <w:tcW w:w="5812" w:type="dxa"/>
          </w:tcPr>
          <w:p w14:paraId="7AE08BCF" w14:textId="77777777" w:rsidR="00692001" w:rsidRPr="00471EA7" w:rsidRDefault="00692001" w:rsidP="0046310E">
            <w:pPr>
              <w:widowControl w:val="0"/>
              <w:adjustRightInd w:val="0"/>
              <w:snapToGrid w:val="0"/>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6"/>
                <w:szCs w:val="28"/>
              </w:rPr>
              <w:t>CỘNG HÒA XÃ HỘI CHỦ NGHĨA VIỆT NAM</w:t>
            </w:r>
          </w:p>
          <w:p w14:paraId="13608E12" w14:textId="77777777" w:rsidR="00692001" w:rsidRPr="00471EA7" w:rsidRDefault="00692001" w:rsidP="0046310E">
            <w:pPr>
              <w:widowControl w:val="0"/>
              <w:adjustRightInd w:val="0"/>
              <w:snapToGrid w:val="0"/>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8"/>
                <w:szCs w:val="28"/>
              </w:rPr>
              <w:t>Độc lập - Tự do - Hạnh phúc</w:t>
            </w:r>
          </w:p>
          <w:p w14:paraId="698AD627" w14:textId="77777777" w:rsidR="00692001" w:rsidRPr="00471EA7" w:rsidRDefault="00692001" w:rsidP="0046310E">
            <w:pPr>
              <w:widowControl w:val="0"/>
              <w:adjustRightInd w:val="0"/>
              <w:snapToGrid w:val="0"/>
              <w:spacing w:after="0" w:line="24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_______________________________________</w:t>
            </w:r>
          </w:p>
          <w:p w14:paraId="7A370467" w14:textId="58CBD87C" w:rsidR="00692001" w:rsidRPr="00471EA7" w:rsidRDefault="00692001" w:rsidP="0072194E">
            <w:pPr>
              <w:widowControl w:val="0"/>
              <w:adjustRightInd w:val="0"/>
              <w:snapToGrid w:val="0"/>
              <w:spacing w:after="0" w:line="240" w:lineRule="auto"/>
              <w:jc w:val="center"/>
              <w:rPr>
                <w:rFonts w:ascii="Times New Roman" w:eastAsia="Times New Roman" w:hAnsi="Times New Roman" w:cs="Times New Roman"/>
                <w:sz w:val="28"/>
                <w:szCs w:val="28"/>
                <w:vertAlign w:val="superscript"/>
              </w:rPr>
            </w:pPr>
            <w:r w:rsidRPr="00471EA7">
              <w:rPr>
                <w:rFonts w:ascii="Times New Roman" w:eastAsia="Times New Roman" w:hAnsi="Times New Roman" w:cs="Times New Roman"/>
                <w:i/>
                <w:sz w:val="28"/>
                <w:szCs w:val="28"/>
              </w:rPr>
              <w:t xml:space="preserve">Hà Nội, ngày </w:t>
            </w:r>
            <w:r w:rsidR="0072194E">
              <w:rPr>
                <w:rFonts w:ascii="Times New Roman" w:eastAsia="Times New Roman" w:hAnsi="Times New Roman" w:cs="Times New Roman"/>
                <w:i/>
                <w:sz w:val="28"/>
                <w:szCs w:val="28"/>
              </w:rPr>
              <w:t>04</w:t>
            </w:r>
            <w:r w:rsidRPr="00471EA7">
              <w:rPr>
                <w:rFonts w:ascii="Times New Roman" w:eastAsia="Times New Roman" w:hAnsi="Times New Roman" w:cs="Times New Roman"/>
                <w:i/>
                <w:sz w:val="28"/>
                <w:szCs w:val="28"/>
              </w:rPr>
              <w:t xml:space="preserve"> tháng</w:t>
            </w:r>
            <w:r>
              <w:rPr>
                <w:rFonts w:ascii="Times New Roman" w:eastAsia="Times New Roman" w:hAnsi="Times New Roman" w:cs="Times New Roman"/>
                <w:i/>
                <w:sz w:val="28"/>
                <w:szCs w:val="28"/>
              </w:rPr>
              <w:t xml:space="preserve"> </w:t>
            </w:r>
            <w:r w:rsidR="0072194E">
              <w:rPr>
                <w:rFonts w:ascii="Times New Roman" w:eastAsia="Times New Roman" w:hAnsi="Times New Roman" w:cs="Times New Roman"/>
                <w:i/>
                <w:sz w:val="28"/>
                <w:szCs w:val="28"/>
              </w:rPr>
              <w:t>10</w:t>
            </w:r>
            <w:bookmarkStart w:id="0" w:name="_GoBack"/>
            <w:bookmarkEnd w:id="0"/>
            <w:r>
              <w:rPr>
                <w:rFonts w:ascii="Times New Roman" w:eastAsia="Times New Roman" w:hAnsi="Times New Roman" w:cs="Times New Roman"/>
                <w:i/>
                <w:sz w:val="28"/>
                <w:szCs w:val="28"/>
              </w:rPr>
              <w:t xml:space="preserve"> </w:t>
            </w:r>
            <w:r w:rsidRPr="00471EA7">
              <w:rPr>
                <w:rFonts w:ascii="Times New Roman" w:eastAsia="Times New Roman" w:hAnsi="Times New Roman" w:cs="Times New Roman"/>
                <w:i/>
                <w:sz w:val="28"/>
                <w:szCs w:val="28"/>
              </w:rPr>
              <w:t>năm 2024</w:t>
            </w:r>
          </w:p>
        </w:tc>
      </w:tr>
    </w:tbl>
    <w:p w14:paraId="6D4F75D8" w14:textId="1C68E0CC" w:rsidR="00692001" w:rsidRDefault="00692001" w:rsidP="00692001">
      <w:pPr>
        <w:widowControl w:val="0"/>
        <w:tabs>
          <w:tab w:val="left" w:pos="4820"/>
        </w:tabs>
        <w:spacing w:after="0" w:line="240" w:lineRule="auto"/>
        <w:jc w:val="center"/>
        <w:rPr>
          <w:rFonts w:ascii="Times New Roman" w:hAnsi="Times New Roman" w:cs="Times New Roman"/>
          <w:b/>
          <w:bCs/>
          <w:spacing w:val="-2"/>
          <w:sz w:val="28"/>
          <w:szCs w:val="28"/>
          <w:lang w:val="es-ES"/>
        </w:rPr>
      </w:pPr>
    </w:p>
    <w:p w14:paraId="7E84B95D" w14:textId="77777777" w:rsidR="00692001" w:rsidRDefault="00692001" w:rsidP="00692001">
      <w:pPr>
        <w:widowControl w:val="0"/>
        <w:tabs>
          <w:tab w:val="left" w:pos="4820"/>
        </w:tabs>
        <w:spacing w:after="0" w:line="240" w:lineRule="auto"/>
        <w:jc w:val="center"/>
        <w:rPr>
          <w:rFonts w:ascii="Times New Roman" w:hAnsi="Times New Roman" w:cs="Times New Roman"/>
          <w:b/>
          <w:bCs/>
          <w:spacing w:val="-2"/>
          <w:sz w:val="28"/>
          <w:szCs w:val="28"/>
          <w:lang w:val="es-ES"/>
        </w:rPr>
      </w:pPr>
    </w:p>
    <w:p w14:paraId="7A1DBCF0" w14:textId="067FBBAC" w:rsidR="00677AD3" w:rsidRPr="0035787F" w:rsidRDefault="00677AD3" w:rsidP="00692001">
      <w:pPr>
        <w:widowControl w:val="0"/>
        <w:tabs>
          <w:tab w:val="left" w:pos="4820"/>
        </w:tabs>
        <w:spacing w:after="0" w:line="240" w:lineRule="auto"/>
        <w:jc w:val="center"/>
        <w:rPr>
          <w:rFonts w:ascii="Times New Roman" w:hAnsi="Times New Roman" w:cs="Times New Roman"/>
          <w:b/>
          <w:bCs/>
          <w:spacing w:val="-2"/>
          <w:sz w:val="28"/>
          <w:szCs w:val="28"/>
          <w:lang w:val="es-ES"/>
        </w:rPr>
      </w:pPr>
      <w:r w:rsidRPr="0035787F">
        <w:rPr>
          <w:rFonts w:ascii="Times New Roman" w:hAnsi="Times New Roman" w:cs="Times New Roman"/>
          <w:b/>
          <w:bCs/>
          <w:spacing w:val="-2"/>
          <w:sz w:val="28"/>
          <w:szCs w:val="28"/>
          <w:lang w:val="es-ES"/>
        </w:rPr>
        <w:t>NGHỊ ĐỊNH</w:t>
      </w:r>
    </w:p>
    <w:p w14:paraId="61E63DC5" w14:textId="77777777" w:rsidR="00677AD3" w:rsidRDefault="00677AD3" w:rsidP="00692001">
      <w:pPr>
        <w:widowControl w:val="0"/>
        <w:tabs>
          <w:tab w:val="left" w:pos="4820"/>
        </w:tabs>
        <w:spacing w:after="0" w:line="240" w:lineRule="auto"/>
        <w:jc w:val="center"/>
        <w:rPr>
          <w:rFonts w:ascii="Times New Roman" w:hAnsi="Times New Roman" w:cs="Times New Roman"/>
          <w:b/>
          <w:bCs/>
          <w:spacing w:val="-2"/>
          <w:sz w:val="28"/>
          <w:szCs w:val="28"/>
          <w:lang w:val="es-ES"/>
        </w:rPr>
      </w:pPr>
      <w:r w:rsidRPr="0035787F">
        <w:rPr>
          <w:rFonts w:ascii="Times New Roman" w:hAnsi="Times New Roman" w:cs="Times New Roman"/>
          <w:b/>
          <w:bCs/>
          <w:spacing w:val="-2"/>
          <w:sz w:val="28"/>
          <w:szCs w:val="28"/>
          <w:lang w:val="es-ES"/>
        </w:rPr>
        <w:t xml:space="preserve">Sửa đổi, bổ sung một số điều của Nghị định số 14/2018/NĐ-CP </w:t>
      </w:r>
    </w:p>
    <w:p w14:paraId="287E04D2" w14:textId="77777777" w:rsidR="00692001" w:rsidRDefault="00677AD3" w:rsidP="00692001">
      <w:pPr>
        <w:widowControl w:val="0"/>
        <w:tabs>
          <w:tab w:val="left" w:pos="4820"/>
        </w:tabs>
        <w:spacing w:after="0" w:line="240" w:lineRule="auto"/>
        <w:jc w:val="center"/>
        <w:rPr>
          <w:rFonts w:ascii="Times New Roman" w:hAnsi="Times New Roman" w:cs="Times New Roman"/>
          <w:b/>
          <w:bCs/>
          <w:spacing w:val="-2"/>
          <w:sz w:val="28"/>
          <w:szCs w:val="28"/>
          <w:lang w:val="es-ES"/>
        </w:rPr>
      </w:pPr>
      <w:r w:rsidRPr="0035787F">
        <w:rPr>
          <w:rFonts w:ascii="Times New Roman" w:hAnsi="Times New Roman" w:cs="Times New Roman"/>
          <w:b/>
          <w:bCs/>
          <w:spacing w:val="-2"/>
          <w:sz w:val="28"/>
          <w:szCs w:val="28"/>
          <w:lang w:val="es-ES"/>
        </w:rPr>
        <w:t xml:space="preserve">ngày 23 tháng 01 năm 2018 của Chính phủ quy định chi tiết </w:t>
      </w:r>
    </w:p>
    <w:p w14:paraId="205B4498" w14:textId="058BA936" w:rsidR="00677AD3" w:rsidRDefault="00677AD3" w:rsidP="00692001">
      <w:pPr>
        <w:widowControl w:val="0"/>
        <w:tabs>
          <w:tab w:val="left" w:pos="4820"/>
        </w:tabs>
        <w:spacing w:after="0" w:line="240" w:lineRule="auto"/>
        <w:jc w:val="center"/>
        <w:rPr>
          <w:rFonts w:ascii="Times New Roman" w:hAnsi="Times New Roman" w:cs="Times New Roman"/>
          <w:b/>
          <w:bCs/>
          <w:spacing w:val="-2"/>
          <w:sz w:val="28"/>
          <w:szCs w:val="28"/>
          <w:lang w:val="es-ES"/>
        </w:rPr>
      </w:pPr>
      <w:r w:rsidRPr="0035787F">
        <w:rPr>
          <w:rFonts w:ascii="Times New Roman" w:hAnsi="Times New Roman" w:cs="Times New Roman"/>
          <w:b/>
          <w:bCs/>
          <w:spacing w:val="-2"/>
          <w:sz w:val="28"/>
          <w:szCs w:val="28"/>
          <w:lang w:val="es-ES"/>
        </w:rPr>
        <w:t>về hoạt động thương mại biên giới</w:t>
      </w:r>
    </w:p>
    <w:p w14:paraId="1D1638C2" w14:textId="176C23B2" w:rsidR="00692001" w:rsidRPr="00692001" w:rsidRDefault="00692001" w:rsidP="00692001">
      <w:pPr>
        <w:widowControl w:val="0"/>
        <w:tabs>
          <w:tab w:val="left" w:pos="4820"/>
        </w:tabs>
        <w:spacing w:after="0" w:line="240" w:lineRule="auto"/>
        <w:jc w:val="center"/>
        <w:rPr>
          <w:rFonts w:ascii="Times New Roman" w:hAnsi="Times New Roman" w:cs="Times New Roman"/>
          <w:b/>
          <w:bCs/>
          <w:spacing w:val="-2"/>
          <w:sz w:val="28"/>
          <w:szCs w:val="28"/>
          <w:vertAlign w:val="superscript"/>
          <w:lang w:val="es-ES"/>
        </w:rPr>
      </w:pPr>
      <w:r>
        <w:rPr>
          <w:rFonts w:ascii="Times New Roman" w:hAnsi="Times New Roman" w:cs="Times New Roman"/>
          <w:b/>
          <w:bCs/>
          <w:spacing w:val="-2"/>
          <w:sz w:val="28"/>
          <w:szCs w:val="28"/>
          <w:vertAlign w:val="superscript"/>
          <w:lang w:val="es-ES"/>
        </w:rPr>
        <w:t>___________</w:t>
      </w:r>
    </w:p>
    <w:p w14:paraId="68632D58" w14:textId="77777777" w:rsidR="00677AD3" w:rsidRPr="00692001" w:rsidRDefault="00677AD3" w:rsidP="00BF25B0">
      <w:pPr>
        <w:pStyle w:val="s5"/>
        <w:widowControl w:val="0"/>
        <w:spacing w:before="120" w:beforeAutospacing="0" w:after="120" w:afterAutospacing="0"/>
        <w:jc w:val="center"/>
        <w:rPr>
          <w:spacing w:val="2"/>
          <w:sz w:val="2"/>
          <w:szCs w:val="28"/>
          <w:lang w:val="es-ES"/>
        </w:rPr>
      </w:pPr>
    </w:p>
    <w:p w14:paraId="15082E9A" w14:textId="3EA9D173" w:rsidR="00677AD3" w:rsidRPr="00622AE9" w:rsidRDefault="00677AD3" w:rsidP="00692001">
      <w:pPr>
        <w:widowControl w:val="0"/>
        <w:tabs>
          <w:tab w:val="left" w:pos="4820"/>
        </w:tabs>
        <w:spacing w:before="180" w:after="0" w:line="240" w:lineRule="auto"/>
        <w:ind w:firstLine="567"/>
        <w:jc w:val="both"/>
        <w:rPr>
          <w:rFonts w:ascii="Times New Roman" w:hAnsi="Times New Roman" w:cs="Times New Roman"/>
          <w:i/>
          <w:iCs/>
          <w:sz w:val="28"/>
          <w:szCs w:val="28"/>
          <w:lang w:val="es-ES"/>
        </w:rPr>
      </w:pPr>
      <w:r w:rsidRPr="00622AE9">
        <w:rPr>
          <w:rFonts w:ascii="Times New Roman" w:hAnsi="Times New Roman" w:cs="Times New Roman"/>
          <w:i/>
          <w:iCs/>
          <w:sz w:val="28"/>
          <w:szCs w:val="28"/>
          <w:lang w:val="es-ES"/>
        </w:rPr>
        <w:t>Căn cứ Luật Tổ chức Chính phủ ngày 19 tháng 6 năm 2015;</w:t>
      </w:r>
      <w:r w:rsidR="00C44783">
        <w:rPr>
          <w:rFonts w:ascii="Times New Roman" w:hAnsi="Times New Roman" w:cs="Times New Roman"/>
          <w:i/>
          <w:iCs/>
          <w:sz w:val="28"/>
          <w:szCs w:val="28"/>
          <w:lang w:val="es-ES"/>
        </w:rPr>
        <w:t xml:space="preserve"> </w:t>
      </w:r>
      <w:r w:rsidRPr="00622AE9">
        <w:rPr>
          <w:rFonts w:ascii="Times New Roman" w:hAnsi="Times New Roman" w:cs="Times New Roman"/>
          <w:i/>
          <w:iCs/>
          <w:sz w:val="28"/>
          <w:szCs w:val="28"/>
          <w:lang w:val="es-ES"/>
        </w:rPr>
        <w:t xml:space="preserve">Luật </w:t>
      </w:r>
      <w:r w:rsidR="00C44783">
        <w:rPr>
          <w:rFonts w:ascii="Times New Roman" w:hAnsi="Times New Roman" w:cs="Times New Roman"/>
          <w:i/>
          <w:iCs/>
          <w:sz w:val="28"/>
          <w:szCs w:val="28"/>
          <w:lang w:val="es-ES"/>
        </w:rPr>
        <w:t>s</w:t>
      </w:r>
      <w:r w:rsidRPr="00622AE9">
        <w:rPr>
          <w:rFonts w:ascii="Times New Roman" w:hAnsi="Times New Roman" w:cs="Times New Roman"/>
          <w:i/>
          <w:iCs/>
          <w:sz w:val="28"/>
          <w:szCs w:val="28"/>
          <w:lang w:val="es-ES"/>
        </w:rPr>
        <w:t xml:space="preserve">ửa đổi, bổ sung một số điều của Luật Tổ chức Chính phủ và Luật Tổ chức chính quyền địa phương ngày 22 tháng 11 năm 2019;  </w:t>
      </w:r>
    </w:p>
    <w:p w14:paraId="75F0916D" w14:textId="77777777" w:rsidR="00677AD3" w:rsidRPr="00622AE9" w:rsidRDefault="00677AD3" w:rsidP="00692001">
      <w:pPr>
        <w:widowControl w:val="0"/>
        <w:tabs>
          <w:tab w:val="left" w:pos="4820"/>
        </w:tabs>
        <w:spacing w:before="180" w:after="0" w:line="240" w:lineRule="auto"/>
        <w:ind w:firstLine="567"/>
        <w:jc w:val="both"/>
        <w:rPr>
          <w:rFonts w:ascii="Times New Roman" w:hAnsi="Times New Roman" w:cs="Times New Roman"/>
          <w:i/>
          <w:iCs/>
          <w:sz w:val="28"/>
          <w:szCs w:val="28"/>
          <w:lang w:val="es-ES"/>
        </w:rPr>
      </w:pPr>
      <w:r w:rsidRPr="00622AE9">
        <w:rPr>
          <w:rFonts w:ascii="Times New Roman" w:hAnsi="Times New Roman" w:cs="Times New Roman"/>
          <w:i/>
          <w:iCs/>
          <w:sz w:val="28"/>
          <w:szCs w:val="28"/>
          <w:lang w:val="es-ES"/>
        </w:rPr>
        <w:t xml:space="preserve">Căn cứ Luật Quản lý ngoại thương ngày 12 tháng 6 năm 2017; </w:t>
      </w:r>
    </w:p>
    <w:p w14:paraId="2907E761" w14:textId="6AB31D05" w:rsidR="00677AD3" w:rsidRPr="00622AE9" w:rsidRDefault="00677AD3" w:rsidP="00692001">
      <w:pPr>
        <w:widowControl w:val="0"/>
        <w:tabs>
          <w:tab w:val="left" w:pos="4820"/>
        </w:tabs>
        <w:spacing w:before="180" w:after="0" w:line="240" w:lineRule="auto"/>
        <w:ind w:firstLine="567"/>
        <w:jc w:val="both"/>
        <w:rPr>
          <w:rFonts w:ascii="Times New Roman" w:hAnsi="Times New Roman" w:cs="Times New Roman"/>
          <w:i/>
          <w:iCs/>
          <w:sz w:val="28"/>
          <w:szCs w:val="28"/>
          <w:lang w:val="es-ES"/>
        </w:rPr>
      </w:pPr>
      <w:r w:rsidRPr="00622AE9">
        <w:rPr>
          <w:rFonts w:ascii="Times New Roman" w:hAnsi="Times New Roman" w:cs="Times New Roman"/>
          <w:i/>
          <w:iCs/>
          <w:sz w:val="28"/>
          <w:szCs w:val="28"/>
          <w:lang w:val="es-ES"/>
        </w:rPr>
        <w:t>Theo đề nghị của Bộ trưởng Bộ Công Thương</w:t>
      </w:r>
      <w:r w:rsidR="00C44783">
        <w:rPr>
          <w:rFonts w:ascii="Times New Roman" w:hAnsi="Times New Roman" w:cs="Times New Roman"/>
          <w:i/>
          <w:iCs/>
          <w:sz w:val="28"/>
          <w:szCs w:val="28"/>
          <w:lang w:val="es-ES"/>
        </w:rPr>
        <w:t>;</w:t>
      </w:r>
    </w:p>
    <w:p w14:paraId="15833C8A" w14:textId="65641AA2" w:rsidR="004168AF" w:rsidRPr="006150A9" w:rsidRDefault="00677AD3" w:rsidP="00692001">
      <w:pPr>
        <w:widowControl w:val="0"/>
        <w:tabs>
          <w:tab w:val="left" w:pos="4820"/>
        </w:tabs>
        <w:spacing w:before="180" w:after="0" w:line="240" w:lineRule="auto"/>
        <w:ind w:firstLine="567"/>
        <w:jc w:val="both"/>
        <w:rPr>
          <w:rFonts w:ascii="Times New Roman" w:hAnsi="Times New Roman" w:cs="Times New Roman"/>
          <w:i/>
          <w:iCs/>
          <w:sz w:val="28"/>
          <w:szCs w:val="28"/>
          <w:lang w:val="es-ES"/>
        </w:rPr>
      </w:pPr>
      <w:r w:rsidRPr="00622AE9">
        <w:rPr>
          <w:rFonts w:ascii="Times New Roman" w:hAnsi="Times New Roman" w:cs="Times New Roman"/>
          <w:i/>
          <w:iCs/>
          <w:sz w:val="28"/>
          <w:szCs w:val="28"/>
          <w:lang w:val="es-ES"/>
        </w:rPr>
        <w:t xml:space="preserve">Chính phủ ban hành Nghị định sửa đổi, bổ sung một số điều của Nghị định số 14/2018/NĐ-CP ngày 23 tháng 01 năm 2018 của Chính phủ quy định chi tiết về hoạt động thương mại biên giới. </w:t>
      </w:r>
    </w:p>
    <w:p w14:paraId="7931D8B5" w14:textId="77777777" w:rsidR="006150A9" w:rsidRPr="006150A9" w:rsidRDefault="006150A9" w:rsidP="006150A9">
      <w:pPr>
        <w:widowControl w:val="0"/>
        <w:tabs>
          <w:tab w:val="left" w:pos="4820"/>
        </w:tabs>
        <w:spacing w:before="100" w:after="100" w:line="240" w:lineRule="auto"/>
        <w:jc w:val="both"/>
        <w:rPr>
          <w:rFonts w:ascii="Times New Roman" w:hAnsi="Times New Roman" w:cs="Times New Roman"/>
          <w:iCs/>
          <w:sz w:val="28"/>
          <w:szCs w:val="28"/>
          <w:lang w:val="es-ES"/>
        </w:rPr>
      </w:pPr>
    </w:p>
    <w:p w14:paraId="667A94B8"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b/>
          <w:bCs/>
          <w:sz w:val="28"/>
          <w:szCs w:val="28"/>
          <w:lang w:val="es-ES"/>
        </w:rPr>
      </w:pPr>
      <w:bookmarkStart w:id="1" w:name="_Hlk113201620"/>
      <w:r w:rsidRPr="00622AE9">
        <w:rPr>
          <w:rFonts w:ascii="Times New Roman" w:hAnsi="Times New Roman" w:cs="Times New Roman"/>
          <w:b/>
          <w:bCs/>
          <w:sz w:val="28"/>
          <w:szCs w:val="28"/>
          <w:lang w:val="es-ES"/>
        </w:rPr>
        <w:t>Điều 1. Sửa đổi, bổ sung một số điều của Nghị định số 14/2018/NĐ-CP ngày 23 tháng 01 năm 2018 của Chính phủ quy định chi tiết về hoạt động thương mại biên giới</w:t>
      </w:r>
    </w:p>
    <w:bookmarkEnd w:id="1"/>
    <w:p w14:paraId="07A83149"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1. </w:t>
      </w:r>
      <w:r w:rsidR="00A67091" w:rsidRPr="00622AE9">
        <w:rPr>
          <w:rFonts w:ascii="Times New Roman" w:hAnsi="Times New Roman" w:cs="Times New Roman"/>
          <w:sz w:val="28"/>
          <w:szCs w:val="28"/>
          <w:lang w:val="es-ES"/>
        </w:rPr>
        <w:t>Sửa đổi, bổ sung k</w:t>
      </w:r>
      <w:r w:rsidRPr="00622AE9">
        <w:rPr>
          <w:rFonts w:ascii="Times New Roman" w:hAnsi="Times New Roman" w:cs="Times New Roman"/>
          <w:sz w:val="28"/>
          <w:szCs w:val="28"/>
          <w:lang w:val="es-ES"/>
        </w:rPr>
        <w:t>hoản 3 Điều 3 như sau:</w:t>
      </w:r>
    </w:p>
    <w:p w14:paraId="5A777A36"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“3. Cư dân biên giới thuộc đối tượng áp dụng của Nghị định này là công dân Việt Nam có nơi thường trú tại xã, phường, thị trấn hoặc đơn vị hành chính tương đương có một phần địa giới hành chính trùng với đường biên giới quốc gia trên đất liền.”</w:t>
      </w:r>
    </w:p>
    <w:p w14:paraId="34984867"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2. Sửa đổi, bổ sung khoản 2 Điều 4 như sau:</w:t>
      </w:r>
    </w:p>
    <w:p w14:paraId="511E68A4"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“2. Phương thức thanh toán</w:t>
      </w:r>
    </w:p>
    <w:p w14:paraId="16A13186"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a) Thanh toán qua ngân hàng;</w:t>
      </w:r>
    </w:p>
    <w:p w14:paraId="40F5A245" w14:textId="77777777"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b) Thanh toán bù trừ giữa hàng hoá, dịch vụ xuất khẩu với hàng hoá, dịch vụ nhập khẩu (phần chênh lệch thanh toán qua ngân hàng);</w:t>
      </w:r>
    </w:p>
    <w:p w14:paraId="2A5EFA93" w14:textId="5B6B814E" w:rsidR="00677AD3" w:rsidRPr="00622AE9" w:rsidRDefault="00677AD3" w:rsidP="00692001">
      <w:pPr>
        <w:widowControl w:val="0"/>
        <w:tabs>
          <w:tab w:val="left" w:pos="4820"/>
        </w:tabs>
        <w:spacing w:before="20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c) Thanh toán bằng tiền mặt chỉ áp dụng đối với hoạt động mua bán, trao đổi hàng hóa của cư dân biên giới.”</w:t>
      </w:r>
    </w:p>
    <w:p w14:paraId="1019C920" w14:textId="77777777" w:rsidR="009664EE" w:rsidRDefault="00B64DE1" w:rsidP="00692001">
      <w:pPr>
        <w:widowControl w:val="0"/>
        <w:tabs>
          <w:tab w:val="left" w:pos="4820"/>
        </w:tabs>
        <w:spacing w:before="240" w:after="0" w:line="247" w:lineRule="auto"/>
        <w:ind w:firstLine="567"/>
        <w:jc w:val="both"/>
        <w:rPr>
          <w:rFonts w:ascii="Times New Roman" w:hAnsi="Times New Roman" w:cs="Times New Roman"/>
          <w:spacing w:val="-2"/>
          <w:sz w:val="28"/>
          <w:szCs w:val="28"/>
          <w:lang w:val="es-ES"/>
        </w:rPr>
      </w:pPr>
      <w:r w:rsidRPr="00622AE9">
        <w:rPr>
          <w:rFonts w:ascii="Times New Roman" w:hAnsi="Times New Roman" w:cs="Times New Roman"/>
          <w:sz w:val="28"/>
          <w:szCs w:val="28"/>
          <w:lang w:val="es-ES"/>
        </w:rPr>
        <w:lastRenderedPageBreak/>
        <w:t xml:space="preserve">3. </w:t>
      </w:r>
      <w:r w:rsidR="009664EE">
        <w:rPr>
          <w:rFonts w:ascii="Times New Roman" w:hAnsi="Times New Roman" w:cs="Times New Roman"/>
          <w:spacing w:val="-2"/>
          <w:sz w:val="28"/>
          <w:szCs w:val="28"/>
          <w:lang w:val="es-ES"/>
        </w:rPr>
        <w:t>Bổ sung Điều 4a vào sau Điều 4 như sau:</w:t>
      </w:r>
    </w:p>
    <w:p w14:paraId="48457AA9" w14:textId="77777777" w:rsidR="009664EE" w:rsidRPr="00FD14BA" w:rsidRDefault="009664EE" w:rsidP="00692001">
      <w:pPr>
        <w:widowControl w:val="0"/>
        <w:tabs>
          <w:tab w:val="left" w:pos="4820"/>
        </w:tabs>
        <w:spacing w:before="240" w:after="0" w:line="247" w:lineRule="auto"/>
        <w:ind w:firstLine="567"/>
        <w:jc w:val="both"/>
        <w:rPr>
          <w:rFonts w:ascii="Times New Roman" w:hAnsi="Times New Roman" w:cs="Times New Roman"/>
          <w:b/>
          <w:spacing w:val="-2"/>
          <w:sz w:val="28"/>
          <w:szCs w:val="28"/>
          <w:lang w:val="es-ES"/>
        </w:rPr>
      </w:pPr>
      <w:r w:rsidRPr="00FD14BA">
        <w:rPr>
          <w:rFonts w:ascii="Times New Roman" w:hAnsi="Times New Roman" w:cs="Times New Roman"/>
          <w:spacing w:val="-2"/>
          <w:sz w:val="28"/>
          <w:szCs w:val="28"/>
          <w:lang w:val="es-ES"/>
        </w:rPr>
        <w:t>“</w:t>
      </w:r>
      <w:r w:rsidRPr="00FD14BA">
        <w:rPr>
          <w:rFonts w:ascii="Times New Roman" w:hAnsi="Times New Roman" w:cs="Times New Roman"/>
          <w:b/>
          <w:spacing w:val="-2"/>
          <w:sz w:val="28"/>
          <w:szCs w:val="28"/>
          <w:lang w:val="es-ES"/>
        </w:rPr>
        <w:t>Điều 4a. Tiêu chuẩn hàng hóa trong hoạt động thương mại biên giới</w:t>
      </w:r>
    </w:p>
    <w:p w14:paraId="2C7F86EA" w14:textId="2E0D4CD2" w:rsidR="009664EE" w:rsidRPr="00FD14BA" w:rsidRDefault="009664EE"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FD14BA">
        <w:rPr>
          <w:rFonts w:ascii="Times New Roman" w:hAnsi="Times New Roman" w:cs="Times New Roman"/>
          <w:sz w:val="28"/>
          <w:szCs w:val="28"/>
          <w:lang w:val="es-ES"/>
        </w:rPr>
        <w:t xml:space="preserve">Hàng hóa </w:t>
      </w:r>
      <w:r>
        <w:rPr>
          <w:rFonts w:ascii="Times New Roman" w:hAnsi="Times New Roman" w:cs="Times New Roman"/>
          <w:sz w:val="28"/>
          <w:szCs w:val="28"/>
          <w:lang w:val="es-ES"/>
        </w:rPr>
        <w:t>trong hoạt động mua bán, trao đổi hàng hóa qua biên giới của thương nhân, cư dân biên giới</w:t>
      </w:r>
      <w:r w:rsidRPr="00FD14BA">
        <w:rPr>
          <w:rFonts w:ascii="Times New Roman" w:hAnsi="Times New Roman" w:cs="Times New Roman"/>
          <w:sz w:val="28"/>
          <w:szCs w:val="28"/>
          <w:lang w:val="es-ES"/>
        </w:rPr>
        <w:t xml:space="preserve"> phải đáp ứng đầy đủ tiêu chuẩn, chất lượng, quy định về truy xuất nguồn gốc và các điều kiện khác </w:t>
      </w:r>
      <w:r w:rsidR="00EA5025">
        <w:rPr>
          <w:rFonts w:ascii="Times New Roman" w:hAnsi="Times New Roman" w:cs="Times New Roman"/>
          <w:sz w:val="28"/>
          <w:szCs w:val="28"/>
          <w:lang w:val="es-ES"/>
        </w:rPr>
        <w:t>theo quy định pháp luật</w:t>
      </w:r>
      <w:r w:rsidRPr="00FD14BA">
        <w:rPr>
          <w:rFonts w:ascii="Times New Roman" w:hAnsi="Times New Roman" w:cs="Times New Roman"/>
          <w:sz w:val="28"/>
          <w:szCs w:val="28"/>
          <w:lang w:val="es-ES"/>
        </w:rPr>
        <w:t xml:space="preserve"> của nước nhập khẩu.”</w:t>
      </w:r>
    </w:p>
    <w:p w14:paraId="18BF9426" w14:textId="23E761B5" w:rsidR="00677AD3" w:rsidRPr="00622AE9" w:rsidRDefault="009664EE"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Pr>
          <w:rFonts w:ascii="Times New Roman" w:hAnsi="Times New Roman" w:cs="Times New Roman"/>
          <w:sz w:val="28"/>
          <w:szCs w:val="28"/>
          <w:lang w:val="es-ES"/>
        </w:rPr>
        <w:t>4</w:t>
      </w:r>
      <w:r w:rsidR="00677AD3" w:rsidRPr="00622AE9">
        <w:rPr>
          <w:rFonts w:ascii="Times New Roman" w:hAnsi="Times New Roman" w:cs="Times New Roman"/>
          <w:sz w:val="28"/>
          <w:szCs w:val="28"/>
          <w:lang w:val="es-ES"/>
        </w:rPr>
        <w:t>. Sửa đổi, bổ sung khoản 1, khoản 2 Điều 16 như sau:</w:t>
      </w:r>
    </w:p>
    <w:p w14:paraId="08A338DF" w14:textId="6DD88107" w:rsidR="00677AD3" w:rsidRPr="00622AE9" w:rsidRDefault="00677AD3"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“1. </w:t>
      </w:r>
      <w:r w:rsidR="00403006" w:rsidRPr="00622AE9">
        <w:rPr>
          <w:rFonts w:ascii="Times New Roman" w:hAnsi="Times New Roman" w:cs="Times New Roman"/>
          <w:sz w:val="28"/>
          <w:szCs w:val="28"/>
        </w:rPr>
        <w:t xml:space="preserve">Thương nhân, </w:t>
      </w:r>
      <w:r w:rsidR="00650958" w:rsidRPr="00622AE9">
        <w:rPr>
          <w:rFonts w:ascii="Times New Roman" w:hAnsi="Times New Roman" w:cs="Times New Roman"/>
          <w:sz w:val="28"/>
          <w:szCs w:val="28"/>
        </w:rPr>
        <w:t xml:space="preserve">công dân </w:t>
      </w:r>
      <w:r w:rsidR="00403006" w:rsidRPr="00622AE9">
        <w:rPr>
          <w:rFonts w:ascii="Times New Roman" w:hAnsi="Times New Roman" w:cs="Times New Roman"/>
          <w:sz w:val="28"/>
          <w:szCs w:val="28"/>
        </w:rPr>
        <w:t>mang quốc tịch Việt Nam đã đăng k</w:t>
      </w:r>
      <w:r w:rsidR="00C44783">
        <w:rPr>
          <w:rFonts w:ascii="Times New Roman" w:hAnsi="Times New Roman" w:cs="Times New Roman"/>
          <w:sz w:val="28"/>
          <w:szCs w:val="28"/>
        </w:rPr>
        <w:t>ý</w:t>
      </w:r>
      <w:r w:rsidR="00403006" w:rsidRPr="00622AE9">
        <w:rPr>
          <w:rFonts w:ascii="Times New Roman" w:hAnsi="Times New Roman" w:cs="Times New Roman"/>
          <w:sz w:val="28"/>
          <w:szCs w:val="28"/>
        </w:rPr>
        <w:t xml:space="preserve"> cư trú tại khu vực biên giới</w:t>
      </w:r>
      <w:r w:rsidRPr="00622AE9">
        <w:rPr>
          <w:rFonts w:ascii="Times New Roman" w:hAnsi="Times New Roman" w:cs="Times New Roman"/>
          <w:sz w:val="28"/>
          <w:szCs w:val="28"/>
          <w:lang w:val="es-ES"/>
        </w:rPr>
        <w:t>.</w:t>
      </w:r>
    </w:p>
    <w:p w14:paraId="78C965ED" w14:textId="56CAFE39" w:rsidR="00677AD3" w:rsidRPr="00622AE9" w:rsidRDefault="00677AD3"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2. Thương nhân, </w:t>
      </w:r>
      <w:r w:rsidR="00650958" w:rsidRPr="00622AE9">
        <w:rPr>
          <w:rFonts w:ascii="Times New Roman" w:hAnsi="Times New Roman" w:cs="Times New Roman"/>
          <w:sz w:val="28"/>
          <w:szCs w:val="28"/>
          <w:lang w:val="es-ES"/>
        </w:rPr>
        <w:t>công dân</w:t>
      </w:r>
      <w:r w:rsidRPr="00622AE9">
        <w:rPr>
          <w:rFonts w:ascii="Times New Roman" w:hAnsi="Times New Roman" w:cs="Times New Roman"/>
          <w:sz w:val="28"/>
          <w:szCs w:val="28"/>
          <w:lang w:val="es-ES"/>
        </w:rPr>
        <w:t xml:space="preserve"> mang quốc tịch của nước có </w:t>
      </w:r>
      <w:r w:rsidR="00474F76" w:rsidRPr="00622AE9">
        <w:rPr>
          <w:rFonts w:ascii="Times New Roman" w:hAnsi="Times New Roman" w:cs="Times New Roman"/>
          <w:sz w:val="28"/>
          <w:szCs w:val="28"/>
          <w:lang w:val="es-ES"/>
        </w:rPr>
        <w:t>chung đường biên giới</w:t>
      </w:r>
      <w:r w:rsidRPr="00622AE9">
        <w:rPr>
          <w:rFonts w:ascii="Times New Roman" w:hAnsi="Times New Roman" w:cs="Times New Roman"/>
          <w:sz w:val="28"/>
          <w:szCs w:val="28"/>
          <w:lang w:val="es-ES"/>
        </w:rPr>
        <w:t xml:space="preserve">, có </w:t>
      </w:r>
      <w:r w:rsidR="00650958" w:rsidRPr="00622AE9">
        <w:rPr>
          <w:rFonts w:ascii="Times New Roman" w:hAnsi="Times New Roman" w:cs="Times New Roman"/>
          <w:sz w:val="28"/>
          <w:szCs w:val="28"/>
          <w:lang w:val="es-ES"/>
        </w:rPr>
        <w:t xml:space="preserve">Hộ chiếu hoặc các giấy tờ có giá trị thay thế hộ chiếu và thị thực, trừ trường hợp được miễn thị thực, còn giá trị sử dụng theo điều ước quốc tế </w:t>
      </w:r>
      <w:r w:rsidR="00D56756" w:rsidRPr="00622AE9">
        <w:rPr>
          <w:rFonts w:ascii="Times New Roman" w:hAnsi="Times New Roman" w:cs="Times New Roman"/>
          <w:sz w:val="28"/>
          <w:szCs w:val="28"/>
          <w:lang w:val="es-ES"/>
        </w:rPr>
        <w:t>mà nước Cộng hòa xã hội chủ nghĩa Việt Nam là thành viên và</w:t>
      </w:r>
      <w:r w:rsidRPr="00622AE9">
        <w:rPr>
          <w:rFonts w:ascii="Times New Roman" w:hAnsi="Times New Roman" w:cs="Times New Roman"/>
          <w:sz w:val="28"/>
          <w:szCs w:val="28"/>
          <w:lang w:val="es-ES"/>
        </w:rPr>
        <w:t xml:space="preserve"> Luật </w:t>
      </w:r>
      <w:r w:rsidR="00C44783">
        <w:rPr>
          <w:rFonts w:ascii="Times New Roman" w:hAnsi="Times New Roman" w:cs="Times New Roman"/>
          <w:sz w:val="28"/>
          <w:szCs w:val="28"/>
          <w:lang w:val="es-ES"/>
        </w:rPr>
        <w:t>N</w:t>
      </w:r>
      <w:r w:rsidRPr="00622AE9">
        <w:rPr>
          <w:rFonts w:ascii="Times New Roman" w:hAnsi="Times New Roman" w:cs="Times New Roman"/>
          <w:sz w:val="28"/>
          <w:szCs w:val="28"/>
          <w:lang w:val="es-ES"/>
        </w:rPr>
        <w:t xml:space="preserve">hập cảnh, </w:t>
      </w:r>
      <w:r w:rsidRPr="00692001">
        <w:rPr>
          <w:rFonts w:ascii="Times New Roman" w:hAnsi="Times New Roman" w:cs="Times New Roman"/>
          <w:spacing w:val="-6"/>
          <w:sz w:val="28"/>
          <w:szCs w:val="28"/>
          <w:lang w:val="es-ES"/>
        </w:rPr>
        <w:t>xuất cảnh, quá cảnh, cư trú của người nước ngoài tại Việt Nam</w:t>
      </w:r>
      <w:r w:rsidR="00D56756" w:rsidRPr="00692001">
        <w:rPr>
          <w:rFonts w:ascii="Times New Roman" w:hAnsi="Times New Roman" w:cs="Times New Roman"/>
          <w:spacing w:val="-6"/>
          <w:sz w:val="28"/>
          <w:szCs w:val="28"/>
          <w:lang w:val="es-ES"/>
        </w:rPr>
        <w:t xml:space="preserve"> số 47/2014/QH13</w:t>
      </w:r>
      <w:r w:rsidR="00D56756" w:rsidRPr="00622AE9">
        <w:rPr>
          <w:rFonts w:ascii="Times New Roman" w:hAnsi="Times New Roman" w:cs="Times New Roman"/>
          <w:sz w:val="28"/>
          <w:szCs w:val="28"/>
          <w:lang w:val="es-ES"/>
        </w:rPr>
        <w:t xml:space="preserve"> </w:t>
      </w:r>
      <w:r w:rsidR="00D56756" w:rsidRPr="00692001">
        <w:rPr>
          <w:rFonts w:ascii="Times New Roman" w:hAnsi="Times New Roman" w:cs="Times New Roman"/>
          <w:spacing w:val="6"/>
          <w:sz w:val="28"/>
          <w:szCs w:val="28"/>
          <w:lang w:val="es-ES"/>
        </w:rPr>
        <w:t xml:space="preserve">đã được sửa đổi, bổ sung một số điều theo Luật số </w:t>
      </w:r>
      <w:bookmarkStart w:id="2" w:name="tvpllink_qgqepqtvay"/>
      <w:r w:rsidR="00D56756" w:rsidRPr="00692001">
        <w:rPr>
          <w:rFonts w:ascii="Times New Roman" w:hAnsi="Times New Roman" w:cs="Times New Roman"/>
          <w:i/>
          <w:iCs/>
          <w:spacing w:val="6"/>
          <w:sz w:val="28"/>
          <w:szCs w:val="28"/>
          <w:lang w:val="es-ES"/>
        </w:rPr>
        <w:fldChar w:fldCharType="begin"/>
      </w:r>
      <w:r w:rsidR="00D56756" w:rsidRPr="00692001">
        <w:rPr>
          <w:rFonts w:ascii="Times New Roman" w:hAnsi="Times New Roman" w:cs="Times New Roman"/>
          <w:i/>
          <w:iCs/>
          <w:spacing w:val="6"/>
          <w:sz w:val="28"/>
          <w:szCs w:val="28"/>
          <w:lang w:val="es-ES"/>
        </w:rPr>
        <w:instrText xml:space="preserve"> HYPERLINK "https://thuvienphapluat.vn/van-ban/Quyen-dan-su/Luat-Nhap-canh-xuat-canh-qua-canh-cu-tru-cua-nguoi-nuoc-ngoai-tai-Viet-Nam-sua-doi-2019-422706.aspx" \t "_blank" </w:instrText>
      </w:r>
      <w:r w:rsidR="00D56756" w:rsidRPr="00692001">
        <w:rPr>
          <w:rFonts w:ascii="Times New Roman" w:hAnsi="Times New Roman" w:cs="Times New Roman"/>
          <w:i/>
          <w:iCs/>
          <w:spacing w:val="6"/>
          <w:sz w:val="28"/>
          <w:szCs w:val="28"/>
          <w:lang w:val="es-ES"/>
        </w:rPr>
        <w:fldChar w:fldCharType="separate"/>
      </w:r>
      <w:r w:rsidR="00D56756" w:rsidRPr="00692001">
        <w:rPr>
          <w:rFonts w:ascii="Times New Roman" w:hAnsi="Times New Roman" w:cs="Times New Roman"/>
          <w:spacing w:val="6"/>
          <w:sz w:val="28"/>
          <w:szCs w:val="28"/>
          <w:lang w:val="es-ES"/>
        </w:rPr>
        <w:t>51/2019/QH14</w:t>
      </w:r>
      <w:r w:rsidR="00D56756" w:rsidRPr="00692001">
        <w:rPr>
          <w:rFonts w:ascii="Times New Roman" w:hAnsi="Times New Roman" w:cs="Times New Roman"/>
          <w:i/>
          <w:iCs/>
          <w:spacing w:val="6"/>
          <w:sz w:val="28"/>
          <w:szCs w:val="28"/>
          <w:lang w:val="es-ES"/>
        </w:rPr>
        <w:fldChar w:fldCharType="end"/>
      </w:r>
      <w:bookmarkEnd w:id="2"/>
      <w:r w:rsidR="00D56756" w:rsidRPr="00692001">
        <w:rPr>
          <w:rFonts w:ascii="Times New Roman" w:hAnsi="Times New Roman" w:cs="Times New Roman"/>
          <w:spacing w:val="6"/>
          <w:sz w:val="28"/>
          <w:szCs w:val="28"/>
          <w:lang w:val="es-ES"/>
        </w:rPr>
        <w:t xml:space="preserve"> và Luật</w:t>
      </w:r>
      <w:r w:rsidR="00D56756" w:rsidRPr="00622AE9">
        <w:rPr>
          <w:rFonts w:ascii="Times New Roman" w:hAnsi="Times New Roman" w:cs="Times New Roman"/>
          <w:sz w:val="28"/>
          <w:szCs w:val="28"/>
          <w:lang w:val="es-ES"/>
        </w:rPr>
        <w:t xml:space="preserve"> số 23/2023/QH15</w:t>
      </w:r>
      <w:r w:rsidRPr="00622AE9">
        <w:rPr>
          <w:rFonts w:ascii="Times New Roman" w:hAnsi="Times New Roman" w:cs="Times New Roman"/>
          <w:sz w:val="28"/>
          <w:szCs w:val="28"/>
          <w:lang w:val="es-ES"/>
        </w:rPr>
        <w:t xml:space="preserve">; thương nhân, hộ kinh doanh, cá nhân có đăng ký kinh doanh của nước có </w:t>
      </w:r>
      <w:r w:rsidR="00474F76" w:rsidRPr="00622AE9">
        <w:rPr>
          <w:rFonts w:ascii="Times New Roman" w:hAnsi="Times New Roman" w:cs="Times New Roman"/>
          <w:sz w:val="28"/>
          <w:szCs w:val="28"/>
          <w:lang w:val="es-ES"/>
        </w:rPr>
        <w:t>chung đường biên giới</w:t>
      </w:r>
      <w:r w:rsidRPr="00622AE9">
        <w:rPr>
          <w:rFonts w:ascii="Times New Roman" w:hAnsi="Times New Roman" w:cs="Times New Roman"/>
          <w:sz w:val="28"/>
          <w:szCs w:val="28"/>
          <w:lang w:val="es-ES"/>
        </w:rPr>
        <w:t xml:space="preserve"> đã được cấp Giấy chứng nhận đăng ký kinh doanh theo quy định pháp luật của nước có </w:t>
      </w:r>
      <w:r w:rsidR="00474F76" w:rsidRPr="00622AE9">
        <w:rPr>
          <w:rFonts w:ascii="Times New Roman" w:hAnsi="Times New Roman" w:cs="Times New Roman"/>
          <w:sz w:val="28"/>
          <w:szCs w:val="28"/>
          <w:lang w:val="es-ES"/>
        </w:rPr>
        <w:t>chung đường biên giới</w:t>
      </w:r>
      <w:r w:rsidRPr="00622AE9">
        <w:rPr>
          <w:rFonts w:ascii="Times New Roman" w:hAnsi="Times New Roman" w:cs="Times New Roman"/>
          <w:sz w:val="28"/>
          <w:szCs w:val="28"/>
          <w:lang w:val="es-ES"/>
        </w:rPr>
        <w:t>.”</w:t>
      </w:r>
    </w:p>
    <w:p w14:paraId="615827A9" w14:textId="437ECF26" w:rsidR="00677AD3" w:rsidRPr="00622AE9" w:rsidRDefault="009664EE"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Pr>
          <w:rFonts w:ascii="Times New Roman" w:hAnsi="Times New Roman" w:cs="Times New Roman"/>
          <w:sz w:val="28"/>
          <w:szCs w:val="28"/>
          <w:lang w:val="es-ES"/>
        </w:rPr>
        <w:t>5</w:t>
      </w:r>
      <w:r w:rsidR="00677AD3" w:rsidRPr="00622AE9">
        <w:rPr>
          <w:rFonts w:ascii="Times New Roman" w:hAnsi="Times New Roman" w:cs="Times New Roman"/>
          <w:sz w:val="28"/>
          <w:szCs w:val="28"/>
          <w:lang w:val="es-ES"/>
        </w:rPr>
        <w:t>. Sửa đổi, bổ sung</w:t>
      </w:r>
      <w:r w:rsidR="006F19DF" w:rsidRPr="00622AE9">
        <w:rPr>
          <w:rFonts w:ascii="Times New Roman" w:hAnsi="Times New Roman" w:cs="Times New Roman"/>
          <w:sz w:val="28"/>
          <w:szCs w:val="28"/>
          <w:lang w:val="es-ES"/>
        </w:rPr>
        <w:t xml:space="preserve"> </w:t>
      </w:r>
      <w:r w:rsidR="00677AD3" w:rsidRPr="00622AE9">
        <w:rPr>
          <w:rFonts w:ascii="Times New Roman" w:hAnsi="Times New Roman" w:cs="Times New Roman"/>
          <w:sz w:val="28"/>
          <w:szCs w:val="28"/>
          <w:lang w:val="es-ES"/>
        </w:rPr>
        <w:t>khoản</w:t>
      </w:r>
      <w:r w:rsidR="00474F76" w:rsidRPr="00622AE9">
        <w:rPr>
          <w:rFonts w:ascii="Times New Roman" w:hAnsi="Times New Roman" w:cs="Times New Roman"/>
          <w:sz w:val="28"/>
          <w:szCs w:val="28"/>
          <w:lang w:val="es-ES"/>
        </w:rPr>
        <w:t xml:space="preserve"> 1, khoản 3</w:t>
      </w:r>
      <w:r w:rsidR="00677AD3" w:rsidRPr="00622AE9">
        <w:rPr>
          <w:rFonts w:ascii="Times New Roman" w:hAnsi="Times New Roman" w:cs="Times New Roman"/>
          <w:sz w:val="28"/>
          <w:szCs w:val="28"/>
          <w:lang w:val="es-ES"/>
        </w:rPr>
        <w:t xml:space="preserve"> </w:t>
      </w:r>
      <w:r w:rsidR="006F19DF" w:rsidRPr="00622AE9">
        <w:rPr>
          <w:rFonts w:ascii="Times New Roman" w:hAnsi="Times New Roman" w:cs="Times New Roman"/>
          <w:sz w:val="28"/>
          <w:szCs w:val="28"/>
          <w:lang w:val="es-ES"/>
        </w:rPr>
        <w:t>của</w:t>
      </w:r>
      <w:r w:rsidR="00677AD3" w:rsidRPr="00622AE9">
        <w:rPr>
          <w:rFonts w:ascii="Times New Roman" w:hAnsi="Times New Roman" w:cs="Times New Roman"/>
          <w:sz w:val="28"/>
          <w:szCs w:val="28"/>
          <w:lang w:val="es-ES"/>
        </w:rPr>
        <w:t xml:space="preserve"> Điều 21 như sau:</w:t>
      </w:r>
    </w:p>
    <w:p w14:paraId="4B706919" w14:textId="5541D371" w:rsidR="006F19DF" w:rsidRPr="00622AE9" w:rsidRDefault="006F19DF"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a) Sửa đổi, bổ sung khoản 1 như sau:</w:t>
      </w:r>
    </w:p>
    <w:p w14:paraId="0DF67443" w14:textId="77777777" w:rsidR="00677AD3" w:rsidRPr="00622AE9" w:rsidRDefault="00677AD3"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“1. Chủ hàng hoặc người được chủ hàng ủy quyền, chủ phương tiện, người điều khiển phương tiện vận tải hàng hóa, nhân viên phục vụ trên xe, tàu, thuyền là công dân Việt Nam thực hiện theo quy định của </w:t>
      </w:r>
      <w:r w:rsidR="008F5F8D" w:rsidRPr="00622AE9">
        <w:rPr>
          <w:rFonts w:ascii="Times New Roman" w:hAnsi="Times New Roman" w:cs="Times New Roman"/>
          <w:sz w:val="28"/>
          <w:szCs w:val="28"/>
          <w:lang w:val="es-ES"/>
        </w:rPr>
        <w:t xml:space="preserve">điều ước quốc tế mà nước Cộng hòa xã hội chủ nghĩa Việt Nam là thành viên và </w:t>
      </w:r>
      <w:r w:rsidRPr="00622AE9">
        <w:rPr>
          <w:rFonts w:ascii="Times New Roman" w:hAnsi="Times New Roman" w:cs="Times New Roman"/>
          <w:sz w:val="28"/>
          <w:szCs w:val="28"/>
          <w:lang w:val="es-ES"/>
        </w:rPr>
        <w:t>Luật Xuất cảnh, nhập cảnh của công dân Việt Nam</w:t>
      </w:r>
      <w:r w:rsidR="00D56756" w:rsidRPr="00622AE9">
        <w:rPr>
          <w:rFonts w:ascii="Times New Roman" w:hAnsi="Times New Roman" w:cs="Times New Roman"/>
          <w:sz w:val="28"/>
          <w:szCs w:val="28"/>
          <w:lang w:val="es-ES"/>
        </w:rPr>
        <w:t xml:space="preserve"> </w:t>
      </w:r>
      <w:r w:rsidR="00D56756" w:rsidRPr="00622AE9">
        <w:rPr>
          <w:rFonts w:ascii="Times New Roman" w:hAnsi="Times New Roman" w:cs="Times New Roman"/>
          <w:iCs/>
          <w:sz w:val="28"/>
          <w:szCs w:val="28"/>
          <w:lang w:val="es-ES"/>
        </w:rPr>
        <w:t xml:space="preserve">số </w:t>
      </w:r>
      <w:bookmarkStart w:id="3" w:name="tvpllink_sypdufelms"/>
      <w:r w:rsidR="00D56756" w:rsidRPr="00622AE9">
        <w:rPr>
          <w:rFonts w:ascii="Times New Roman" w:hAnsi="Times New Roman" w:cs="Times New Roman"/>
          <w:i/>
          <w:sz w:val="28"/>
          <w:szCs w:val="28"/>
          <w:lang w:val="es-ES"/>
        </w:rPr>
        <w:fldChar w:fldCharType="begin"/>
      </w:r>
      <w:r w:rsidR="00D56756" w:rsidRPr="00622AE9">
        <w:rPr>
          <w:rFonts w:ascii="Times New Roman" w:hAnsi="Times New Roman" w:cs="Times New Roman"/>
          <w:i/>
          <w:sz w:val="28"/>
          <w:szCs w:val="28"/>
          <w:lang w:val="es-ES"/>
        </w:rPr>
        <w:instrText xml:space="preserve"> HYPERLINK "https://thuvienphapluat.vn/van-ban/Quyen-dan-su/Luat-Xuat-canh-nhap-canh-cua-cong-dan-Viet-Nam-2019-402073.aspx" \t "_blank" </w:instrText>
      </w:r>
      <w:r w:rsidR="00D56756" w:rsidRPr="00622AE9">
        <w:rPr>
          <w:rFonts w:ascii="Times New Roman" w:hAnsi="Times New Roman" w:cs="Times New Roman"/>
          <w:i/>
          <w:sz w:val="28"/>
          <w:szCs w:val="28"/>
          <w:lang w:val="es-ES"/>
        </w:rPr>
        <w:fldChar w:fldCharType="separate"/>
      </w:r>
      <w:r w:rsidR="00D56756" w:rsidRPr="00622AE9">
        <w:rPr>
          <w:rFonts w:ascii="Times New Roman" w:hAnsi="Times New Roman" w:cs="Times New Roman"/>
          <w:sz w:val="28"/>
          <w:szCs w:val="28"/>
          <w:lang w:val="es-ES"/>
        </w:rPr>
        <w:t>49/2019/QH14</w:t>
      </w:r>
      <w:r w:rsidR="00D56756" w:rsidRPr="00622AE9">
        <w:rPr>
          <w:rFonts w:ascii="Times New Roman" w:hAnsi="Times New Roman" w:cs="Times New Roman"/>
          <w:i/>
          <w:sz w:val="28"/>
          <w:szCs w:val="28"/>
          <w:lang w:val="es-ES"/>
        </w:rPr>
        <w:fldChar w:fldCharType="end"/>
      </w:r>
      <w:bookmarkEnd w:id="3"/>
      <w:r w:rsidR="00D56756" w:rsidRPr="00622AE9">
        <w:rPr>
          <w:rFonts w:ascii="Times New Roman" w:hAnsi="Times New Roman" w:cs="Times New Roman"/>
          <w:i/>
          <w:sz w:val="28"/>
          <w:szCs w:val="28"/>
          <w:lang w:val="es-ES"/>
        </w:rPr>
        <w:t xml:space="preserve"> </w:t>
      </w:r>
      <w:r w:rsidR="00D56756" w:rsidRPr="00622AE9">
        <w:rPr>
          <w:rFonts w:ascii="Times New Roman" w:hAnsi="Times New Roman" w:cs="Times New Roman"/>
          <w:sz w:val="28"/>
          <w:szCs w:val="28"/>
          <w:lang w:val="es-ES"/>
        </w:rPr>
        <w:t>đã được sửa đổi, bổ sung một số điều theo Luật số 23/2023/QH15</w:t>
      </w:r>
      <w:r w:rsidRPr="00622AE9">
        <w:rPr>
          <w:rFonts w:ascii="Times New Roman" w:hAnsi="Times New Roman" w:cs="Times New Roman"/>
          <w:sz w:val="28"/>
          <w:szCs w:val="28"/>
          <w:lang w:val="es-ES"/>
        </w:rPr>
        <w:t>.</w:t>
      </w:r>
    </w:p>
    <w:p w14:paraId="42D6D71A" w14:textId="6F90E6D4" w:rsidR="00677AD3" w:rsidRPr="00622AE9" w:rsidRDefault="00677AD3"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BF25B0">
        <w:rPr>
          <w:rFonts w:ascii="Times New Roman" w:hAnsi="Times New Roman" w:cs="Times New Roman"/>
          <w:spacing w:val="-2"/>
          <w:sz w:val="28"/>
          <w:szCs w:val="28"/>
          <w:lang w:val="es-ES"/>
        </w:rPr>
        <w:t xml:space="preserve">Riêng người điều khiển phương tiện, ngoài giấy tờ quy định nêu trên còn </w:t>
      </w:r>
      <w:r w:rsidRPr="00692001">
        <w:rPr>
          <w:rFonts w:ascii="Times New Roman" w:hAnsi="Times New Roman" w:cs="Times New Roman"/>
          <w:spacing w:val="-6"/>
          <w:sz w:val="28"/>
          <w:szCs w:val="28"/>
          <w:lang w:val="es-ES"/>
        </w:rPr>
        <w:t>phải có giấy phép điều khiển phương tiện phù hợp với loại phương tiện điều khiển.”</w:t>
      </w:r>
    </w:p>
    <w:p w14:paraId="24F43878" w14:textId="3E3018C7" w:rsidR="006F19DF" w:rsidRPr="00622AE9" w:rsidRDefault="006F19DF"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b) Sửa đổi khoản 3 như sau:</w:t>
      </w:r>
    </w:p>
    <w:p w14:paraId="79CA756B" w14:textId="4024F551" w:rsidR="00B64DE1" w:rsidRPr="00622AE9" w:rsidRDefault="00B64DE1" w:rsidP="00692001">
      <w:pPr>
        <w:widowControl w:val="0"/>
        <w:tabs>
          <w:tab w:val="left" w:pos="4820"/>
        </w:tabs>
        <w:spacing w:before="240" w:after="0" w:line="247"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“3. Phương tiện, người điều khiển phương tiện vận tải hàng hóa và chủ thể kinh doanh của Việt Nam được đi qua các cửa khẩu, lối mở biên giới quy định tại Nghị định này để ra hoặc vào chợ biên giới của nước có </w:t>
      </w:r>
      <w:r w:rsidR="00474F76" w:rsidRPr="00622AE9">
        <w:rPr>
          <w:rFonts w:ascii="Times New Roman" w:hAnsi="Times New Roman" w:cs="Times New Roman"/>
          <w:sz w:val="28"/>
          <w:szCs w:val="28"/>
          <w:lang w:val="es-ES"/>
        </w:rPr>
        <w:t>chung đường biên giới</w:t>
      </w:r>
      <w:r w:rsidRPr="00622AE9">
        <w:rPr>
          <w:rFonts w:ascii="Times New Roman" w:hAnsi="Times New Roman" w:cs="Times New Roman"/>
          <w:sz w:val="28"/>
          <w:szCs w:val="28"/>
          <w:lang w:val="es-ES"/>
        </w:rPr>
        <w:t>, phải chịu sự kiểm tra, kiểm soát của các lực lượng quản lý chuyên ngành tại cửa khẩu, lối mở biên giới.”</w:t>
      </w:r>
    </w:p>
    <w:p w14:paraId="4706D317" w14:textId="72E40795" w:rsidR="00677AD3" w:rsidRPr="00622AE9" w:rsidRDefault="009664EE"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6</w:t>
      </w:r>
      <w:r w:rsidR="00677AD3" w:rsidRPr="00622AE9">
        <w:rPr>
          <w:rFonts w:ascii="Times New Roman" w:hAnsi="Times New Roman" w:cs="Times New Roman"/>
          <w:sz w:val="28"/>
          <w:szCs w:val="28"/>
          <w:lang w:val="es-ES"/>
        </w:rPr>
        <w:t xml:space="preserve">. Sửa đổi, bổ sung </w:t>
      </w:r>
      <w:r w:rsidR="006F19DF" w:rsidRPr="00622AE9">
        <w:rPr>
          <w:rFonts w:ascii="Times New Roman" w:hAnsi="Times New Roman" w:cs="Times New Roman"/>
          <w:sz w:val="28"/>
          <w:szCs w:val="28"/>
          <w:lang w:val="es-ES"/>
        </w:rPr>
        <w:t>khoản</w:t>
      </w:r>
      <w:r w:rsidR="00474F76" w:rsidRPr="00622AE9">
        <w:rPr>
          <w:rFonts w:ascii="Times New Roman" w:hAnsi="Times New Roman" w:cs="Times New Roman"/>
          <w:sz w:val="28"/>
          <w:szCs w:val="28"/>
          <w:lang w:val="es-ES"/>
        </w:rPr>
        <w:t xml:space="preserve"> 1, khoản 3</w:t>
      </w:r>
      <w:r w:rsidR="006F19DF" w:rsidRPr="00622AE9">
        <w:rPr>
          <w:rFonts w:ascii="Times New Roman" w:hAnsi="Times New Roman" w:cs="Times New Roman"/>
          <w:sz w:val="28"/>
          <w:szCs w:val="28"/>
          <w:lang w:val="es-ES"/>
        </w:rPr>
        <w:t xml:space="preserve"> của </w:t>
      </w:r>
      <w:r w:rsidR="00677AD3" w:rsidRPr="00622AE9">
        <w:rPr>
          <w:rFonts w:ascii="Times New Roman" w:hAnsi="Times New Roman" w:cs="Times New Roman"/>
          <w:sz w:val="28"/>
          <w:szCs w:val="28"/>
          <w:lang w:val="es-ES"/>
        </w:rPr>
        <w:t>Điều 22 như sau:</w:t>
      </w:r>
    </w:p>
    <w:p w14:paraId="19FA362D" w14:textId="78896E17" w:rsidR="006F19DF" w:rsidRPr="00622AE9" w:rsidRDefault="006F19DF"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a) Sửa đổi, bổ sung khoản 1 như sau:</w:t>
      </w:r>
    </w:p>
    <w:p w14:paraId="6BDD009B" w14:textId="265B4F5E" w:rsidR="00677AD3" w:rsidRPr="00622AE9" w:rsidRDefault="00677AD3"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“1. Chủ hàng hoặc người được chủ hàng ủy quyền, chủ phương tiện, người điều khiển phương tiện vận tải hàng hóa, nhân viên phục vụ trên xe, tàu, thuyền là người nước ngoài nhập cảnh, xuất cảnh qua cửa khẩu biên giới thực hiện theo quy định của </w:t>
      </w:r>
      <w:r w:rsidR="00D56756" w:rsidRPr="00622AE9">
        <w:rPr>
          <w:rFonts w:ascii="Times New Roman" w:hAnsi="Times New Roman" w:cs="Times New Roman"/>
          <w:sz w:val="28"/>
          <w:szCs w:val="28"/>
          <w:lang w:val="es-ES"/>
        </w:rPr>
        <w:t xml:space="preserve">điều ước quốc tế mà nước Cộng hòa xã hội chủ nghĩa Việt Nam là thành viên và Luật </w:t>
      </w:r>
      <w:r w:rsidR="00C44783">
        <w:rPr>
          <w:rFonts w:ascii="Times New Roman" w:hAnsi="Times New Roman" w:cs="Times New Roman"/>
          <w:sz w:val="28"/>
          <w:szCs w:val="28"/>
          <w:lang w:val="es-ES"/>
        </w:rPr>
        <w:t>N</w:t>
      </w:r>
      <w:r w:rsidR="00D56756" w:rsidRPr="00622AE9">
        <w:rPr>
          <w:rFonts w:ascii="Times New Roman" w:hAnsi="Times New Roman" w:cs="Times New Roman"/>
          <w:sz w:val="28"/>
          <w:szCs w:val="28"/>
          <w:lang w:val="es-ES"/>
        </w:rPr>
        <w:t xml:space="preserve">hập cảnh, xuất cảnh, quá cảnh, cư trú của người nước ngoài tại Việt Nam số 47/2014/QH13 đã được sửa đổi, bổ sung một số điều theo Luật số </w:t>
      </w:r>
      <w:hyperlink r:id="rId7" w:tgtFrame="_blank" w:history="1">
        <w:r w:rsidR="00D56756" w:rsidRPr="00622AE9">
          <w:rPr>
            <w:rFonts w:ascii="Times New Roman" w:hAnsi="Times New Roman" w:cs="Times New Roman"/>
            <w:sz w:val="28"/>
            <w:szCs w:val="28"/>
            <w:lang w:val="es-ES"/>
          </w:rPr>
          <w:t>51/2019/QH14</w:t>
        </w:r>
      </w:hyperlink>
      <w:r w:rsidR="00D56756" w:rsidRPr="00622AE9">
        <w:rPr>
          <w:rFonts w:ascii="Times New Roman" w:hAnsi="Times New Roman" w:cs="Times New Roman"/>
          <w:sz w:val="28"/>
          <w:szCs w:val="28"/>
          <w:lang w:val="es-ES"/>
        </w:rPr>
        <w:t xml:space="preserve"> và Luật số 23/2023/QH15</w:t>
      </w:r>
      <w:r w:rsidRPr="00622AE9">
        <w:rPr>
          <w:rFonts w:ascii="Times New Roman" w:hAnsi="Times New Roman" w:cs="Times New Roman"/>
          <w:sz w:val="28"/>
          <w:szCs w:val="28"/>
          <w:lang w:val="es-ES"/>
        </w:rPr>
        <w:t>.”</w:t>
      </w:r>
    </w:p>
    <w:p w14:paraId="06F7A5C8" w14:textId="0F450929" w:rsidR="006F19DF" w:rsidRPr="00622AE9" w:rsidRDefault="006F19DF"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b) Sửa đổi khoản 3 như sau:</w:t>
      </w:r>
    </w:p>
    <w:p w14:paraId="2894E9AD" w14:textId="72154DD2" w:rsidR="00B64DE1" w:rsidRPr="00622AE9" w:rsidRDefault="00B64DE1"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“3. Phương tiện và công dân của nước có </w:t>
      </w:r>
      <w:r w:rsidR="00474F76" w:rsidRPr="00622AE9">
        <w:rPr>
          <w:rFonts w:ascii="Times New Roman" w:hAnsi="Times New Roman" w:cs="Times New Roman"/>
          <w:sz w:val="28"/>
          <w:szCs w:val="28"/>
          <w:lang w:val="es-ES"/>
        </w:rPr>
        <w:t>chung đường biên giới</w:t>
      </w:r>
      <w:r w:rsidRPr="00622AE9">
        <w:rPr>
          <w:rFonts w:ascii="Times New Roman" w:hAnsi="Times New Roman" w:cs="Times New Roman"/>
          <w:sz w:val="28"/>
          <w:szCs w:val="28"/>
          <w:lang w:val="es-ES"/>
        </w:rPr>
        <w:t xml:space="preserve"> là người điều khiển phương tiện vận tải hàng hóa và chủ thể kinh doanh của nước có </w:t>
      </w:r>
      <w:r w:rsidR="00474F76" w:rsidRPr="00622AE9">
        <w:rPr>
          <w:rFonts w:ascii="Times New Roman" w:hAnsi="Times New Roman" w:cs="Times New Roman"/>
          <w:sz w:val="28"/>
          <w:szCs w:val="28"/>
          <w:lang w:val="es-ES"/>
        </w:rPr>
        <w:t>chung đường biên giới</w:t>
      </w:r>
      <w:r w:rsidRPr="00622AE9">
        <w:rPr>
          <w:rFonts w:ascii="Times New Roman" w:hAnsi="Times New Roman" w:cs="Times New Roman"/>
          <w:sz w:val="28"/>
          <w:szCs w:val="28"/>
          <w:lang w:val="es-ES"/>
        </w:rPr>
        <w:t xml:space="preserve"> khi ra, vào chợ biên giới, chợ cửa khẩu và chợ trong Khu kinh tế cửa khẩu của Việt Nam để vận chuyển hàng hóa phải chịu sự kiểm tra, kiểm soát, kiểm dịch của các cơ quan quản lý nhà nước chuyên ngành tại cửa khẩu.”</w:t>
      </w:r>
    </w:p>
    <w:p w14:paraId="186D1FB0" w14:textId="388364E0" w:rsidR="00677AD3" w:rsidRPr="00622AE9" w:rsidRDefault="009664EE"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Pr>
          <w:rFonts w:ascii="Times New Roman" w:hAnsi="Times New Roman" w:cs="Times New Roman"/>
          <w:sz w:val="28"/>
          <w:szCs w:val="28"/>
          <w:lang w:val="es-ES"/>
        </w:rPr>
        <w:t>7</w:t>
      </w:r>
      <w:r w:rsidR="00677AD3" w:rsidRPr="00622AE9">
        <w:rPr>
          <w:rFonts w:ascii="Times New Roman" w:hAnsi="Times New Roman" w:cs="Times New Roman"/>
          <w:sz w:val="28"/>
          <w:szCs w:val="28"/>
          <w:lang w:val="es-ES"/>
        </w:rPr>
        <w:t>. Sửa đổi, bổ sung khoản 2 Điều 24 như sau:</w:t>
      </w:r>
    </w:p>
    <w:p w14:paraId="2D6573A3" w14:textId="77777777" w:rsidR="00677AD3" w:rsidRPr="00622AE9" w:rsidRDefault="00677AD3"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“2. Bộ Tài chính chủ trì, phối hợp với các bộ, ngành liên quan và Ủy ban nhân dân tỉnh biên giới: </w:t>
      </w:r>
    </w:p>
    <w:p w14:paraId="2811FFBF" w14:textId="77777777" w:rsidR="00677AD3" w:rsidRPr="00622AE9" w:rsidRDefault="00677AD3" w:rsidP="00692001">
      <w:pPr>
        <w:widowControl w:val="0"/>
        <w:tabs>
          <w:tab w:val="left" w:pos="4820"/>
        </w:tabs>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 xml:space="preserve">a) Hướng dẫn thực hiện chính sách thuế, phí và lệ phí; </w:t>
      </w:r>
    </w:p>
    <w:p w14:paraId="558CF975" w14:textId="77777777" w:rsidR="00677AD3" w:rsidRPr="00692001" w:rsidRDefault="00677AD3" w:rsidP="00692001">
      <w:pPr>
        <w:widowControl w:val="0"/>
        <w:tabs>
          <w:tab w:val="left" w:pos="4820"/>
        </w:tabs>
        <w:spacing w:before="140" w:after="0" w:line="240" w:lineRule="auto"/>
        <w:ind w:firstLine="567"/>
        <w:jc w:val="both"/>
        <w:rPr>
          <w:rFonts w:ascii="Times New Roman" w:hAnsi="Times New Roman" w:cs="Times New Roman"/>
          <w:spacing w:val="4"/>
          <w:sz w:val="28"/>
          <w:szCs w:val="28"/>
          <w:lang w:val="es-ES"/>
        </w:rPr>
      </w:pPr>
      <w:r w:rsidRPr="00692001">
        <w:rPr>
          <w:rFonts w:ascii="Times New Roman" w:hAnsi="Times New Roman" w:cs="Times New Roman"/>
          <w:spacing w:val="4"/>
          <w:sz w:val="28"/>
          <w:szCs w:val="28"/>
          <w:lang w:val="es-ES"/>
        </w:rPr>
        <w:t>b) Thực hiện thủ tục, kiểm tra, giám sát, kiểm soát hải quan đối với hàng hóa xuất khẩu, nhập khẩu, quá cảnh; phương tiện vận tải xuất cảnh, nhập cảnh, quá cả</w:t>
      </w:r>
      <w:r w:rsidR="00643E1F" w:rsidRPr="00692001">
        <w:rPr>
          <w:rFonts w:ascii="Times New Roman" w:hAnsi="Times New Roman" w:cs="Times New Roman"/>
          <w:spacing w:val="4"/>
          <w:sz w:val="28"/>
          <w:szCs w:val="28"/>
          <w:lang w:val="es-ES"/>
        </w:rPr>
        <w:t>nh.</w:t>
      </w:r>
      <w:r w:rsidRPr="00692001">
        <w:rPr>
          <w:rFonts w:ascii="Times New Roman" w:hAnsi="Times New Roman" w:cs="Times New Roman"/>
          <w:spacing w:val="4"/>
          <w:sz w:val="28"/>
          <w:szCs w:val="28"/>
          <w:lang w:val="es-ES"/>
        </w:rPr>
        <w:t>”</w:t>
      </w:r>
    </w:p>
    <w:p w14:paraId="1C4AEAC0" w14:textId="77777777" w:rsidR="00D11327" w:rsidRPr="00622AE9" w:rsidRDefault="00677AD3" w:rsidP="00692001">
      <w:pPr>
        <w:widowControl w:val="0"/>
        <w:spacing w:before="140" w:after="0" w:line="240" w:lineRule="auto"/>
        <w:ind w:firstLine="567"/>
        <w:jc w:val="both"/>
        <w:rPr>
          <w:rFonts w:ascii="Times New Roman" w:hAnsi="Times New Roman" w:cs="Times New Roman"/>
          <w:b/>
          <w:bCs/>
          <w:sz w:val="28"/>
          <w:szCs w:val="28"/>
          <w:lang w:val="es-ES"/>
        </w:rPr>
      </w:pPr>
      <w:bookmarkStart w:id="4" w:name="_Hlk113201636"/>
      <w:r w:rsidRPr="00622AE9">
        <w:rPr>
          <w:rFonts w:ascii="Times New Roman" w:hAnsi="Times New Roman" w:cs="Times New Roman"/>
          <w:b/>
          <w:bCs/>
          <w:sz w:val="28"/>
          <w:szCs w:val="28"/>
          <w:lang w:val="es-ES"/>
        </w:rPr>
        <w:t xml:space="preserve">Điều </w:t>
      </w:r>
      <w:r w:rsidR="004F09B5" w:rsidRPr="00622AE9">
        <w:rPr>
          <w:rFonts w:ascii="Times New Roman" w:hAnsi="Times New Roman" w:cs="Times New Roman"/>
          <w:b/>
          <w:bCs/>
          <w:sz w:val="28"/>
          <w:szCs w:val="28"/>
          <w:lang w:val="es-ES"/>
        </w:rPr>
        <w:t>2</w:t>
      </w:r>
      <w:r w:rsidRPr="00622AE9">
        <w:rPr>
          <w:rFonts w:ascii="Times New Roman" w:hAnsi="Times New Roman" w:cs="Times New Roman"/>
          <w:b/>
          <w:bCs/>
          <w:sz w:val="28"/>
          <w:szCs w:val="28"/>
          <w:lang w:val="es-ES"/>
        </w:rPr>
        <w:t xml:space="preserve">. Điều khoản thi hành </w:t>
      </w:r>
      <w:bookmarkEnd w:id="4"/>
    </w:p>
    <w:p w14:paraId="011C9B26" w14:textId="4EAF4EB7" w:rsidR="00677AD3" w:rsidRPr="00622AE9" w:rsidRDefault="00D11327" w:rsidP="00692001">
      <w:pPr>
        <w:widowControl w:val="0"/>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bCs/>
          <w:sz w:val="28"/>
          <w:szCs w:val="28"/>
          <w:lang w:val="es-ES"/>
        </w:rPr>
        <w:t>1.</w:t>
      </w:r>
      <w:r w:rsidRPr="00622AE9">
        <w:rPr>
          <w:rFonts w:ascii="Times New Roman" w:hAnsi="Times New Roman" w:cs="Times New Roman"/>
          <w:b/>
          <w:bCs/>
          <w:sz w:val="28"/>
          <w:szCs w:val="28"/>
          <w:lang w:val="es-ES"/>
        </w:rPr>
        <w:t xml:space="preserve"> </w:t>
      </w:r>
      <w:r w:rsidR="00677AD3" w:rsidRPr="00622AE9">
        <w:rPr>
          <w:rFonts w:ascii="Times New Roman" w:hAnsi="Times New Roman" w:cs="Times New Roman"/>
          <w:sz w:val="28"/>
          <w:szCs w:val="28"/>
          <w:lang w:val="es-ES"/>
        </w:rPr>
        <w:t>Nghị định này có hiệu lực thi hành từ ngày</w:t>
      </w:r>
      <w:r w:rsidR="00C44783">
        <w:rPr>
          <w:rFonts w:ascii="Times New Roman" w:hAnsi="Times New Roman" w:cs="Times New Roman"/>
          <w:sz w:val="28"/>
          <w:szCs w:val="28"/>
          <w:lang w:val="es-ES"/>
        </w:rPr>
        <w:t xml:space="preserve"> </w:t>
      </w:r>
      <w:r w:rsidR="000B07EB">
        <w:rPr>
          <w:rFonts w:ascii="Times New Roman" w:hAnsi="Times New Roman" w:cs="Times New Roman"/>
          <w:sz w:val="28"/>
          <w:szCs w:val="28"/>
          <w:lang w:val="es-ES"/>
        </w:rPr>
        <w:t>01</w:t>
      </w:r>
      <w:r w:rsidR="00677AD3" w:rsidRPr="00622AE9">
        <w:rPr>
          <w:rFonts w:ascii="Times New Roman" w:hAnsi="Times New Roman" w:cs="Times New Roman"/>
          <w:sz w:val="28"/>
          <w:szCs w:val="28"/>
          <w:lang w:val="es-ES"/>
        </w:rPr>
        <w:t xml:space="preserve"> tháng</w:t>
      </w:r>
      <w:r w:rsidR="00C44783">
        <w:rPr>
          <w:rFonts w:ascii="Times New Roman" w:hAnsi="Times New Roman" w:cs="Times New Roman"/>
          <w:sz w:val="28"/>
          <w:szCs w:val="28"/>
          <w:lang w:val="es-ES"/>
        </w:rPr>
        <w:t xml:space="preserve"> </w:t>
      </w:r>
      <w:r w:rsidR="000B07EB">
        <w:rPr>
          <w:rFonts w:ascii="Times New Roman" w:hAnsi="Times New Roman" w:cs="Times New Roman"/>
          <w:sz w:val="28"/>
          <w:szCs w:val="28"/>
          <w:lang w:val="es-ES"/>
        </w:rPr>
        <w:t>11</w:t>
      </w:r>
      <w:r w:rsidR="00677AD3" w:rsidRPr="00622AE9">
        <w:rPr>
          <w:rFonts w:ascii="Times New Roman" w:hAnsi="Times New Roman" w:cs="Times New Roman"/>
          <w:sz w:val="28"/>
          <w:szCs w:val="28"/>
          <w:lang w:val="es-ES"/>
        </w:rPr>
        <w:t xml:space="preserve"> năm </w:t>
      </w:r>
      <w:r w:rsidR="00226A82" w:rsidRPr="00622AE9">
        <w:rPr>
          <w:rFonts w:ascii="Times New Roman" w:hAnsi="Times New Roman" w:cs="Times New Roman"/>
          <w:sz w:val="28"/>
          <w:szCs w:val="28"/>
          <w:lang w:val="es-ES"/>
        </w:rPr>
        <w:t>2024</w:t>
      </w:r>
      <w:r w:rsidR="00677AD3" w:rsidRPr="00622AE9">
        <w:rPr>
          <w:rFonts w:ascii="Times New Roman" w:hAnsi="Times New Roman" w:cs="Times New Roman"/>
          <w:sz w:val="28"/>
          <w:szCs w:val="28"/>
          <w:lang w:val="es-ES"/>
        </w:rPr>
        <w:t>.</w:t>
      </w:r>
    </w:p>
    <w:p w14:paraId="4178BAA6" w14:textId="311A6CA5" w:rsidR="00D01222" w:rsidRPr="00622AE9" w:rsidRDefault="00B64DE1" w:rsidP="00692001">
      <w:pPr>
        <w:widowControl w:val="0"/>
        <w:spacing w:before="1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t>2</w:t>
      </w:r>
      <w:r w:rsidR="00D11327" w:rsidRPr="00622AE9">
        <w:rPr>
          <w:rFonts w:ascii="Times New Roman" w:hAnsi="Times New Roman" w:cs="Times New Roman"/>
          <w:sz w:val="28"/>
          <w:szCs w:val="28"/>
          <w:lang w:val="es-ES"/>
        </w:rPr>
        <w:t xml:space="preserve">. </w:t>
      </w:r>
      <w:r w:rsidR="00D01222" w:rsidRPr="00622AE9">
        <w:rPr>
          <w:rFonts w:ascii="Times New Roman" w:hAnsi="Times New Roman" w:cs="Times New Roman"/>
          <w:sz w:val="28"/>
          <w:szCs w:val="28"/>
          <w:lang w:val="es-ES"/>
        </w:rPr>
        <w:t xml:space="preserve">Trong năm 2029, Bộ Tài chính báo cáo Chính phủ xem xét, quyết định việc </w:t>
      </w:r>
      <w:r w:rsidR="00984110" w:rsidRPr="00622AE9">
        <w:rPr>
          <w:rFonts w:ascii="Times New Roman" w:hAnsi="Times New Roman" w:cs="Times New Roman"/>
          <w:sz w:val="28"/>
          <w:szCs w:val="28"/>
          <w:lang w:val="es-ES"/>
        </w:rPr>
        <w:t xml:space="preserve">điều chỉnh </w:t>
      </w:r>
      <w:r w:rsidR="00D01222" w:rsidRPr="00622AE9">
        <w:rPr>
          <w:rFonts w:ascii="Times New Roman" w:hAnsi="Times New Roman" w:cs="Times New Roman"/>
          <w:sz w:val="28"/>
          <w:szCs w:val="28"/>
          <w:lang w:val="es-ES"/>
        </w:rPr>
        <w:t>số lần được miễn thuế và số tiền được miễn thuế cho nhập khẩu hàng hoá theo hình thức mua bán, trao đổi hàng hóa của cư dân biên giới.</w:t>
      </w:r>
    </w:p>
    <w:p w14:paraId="4F9D54D6" w14:textId="5DC6B973" w:rsidR="00D01222" w:rsidRPr="00692001" w:rsidRDefault="00B64DE1" w:rsidP="00692001">
      <w:pPr>
        <w:widowControl w:val="0"/>
        <w:spacing w:before="140" w:after="0" w:line="240" w:lineRule="auto"/>
        <w:ind w:firstLine="567"/>
        <w:jc w:val="both"/>
        <w:rPr>
          <w:rFonts w:ascii="Times New Roman" w:hAnsi="Times New Roman" w:cs="Times New Roman"/>
          <w:spacing w:val="4"/>
          <w:sz w:val="28"/>
          <w:szCs w:val="28"/>
          <w:lang w:val="es-ES"/>
        </w:rPr>
      </w:pPr>
      <w:r w:rsidRPr="00692001">
        <w:rPr>
          <w:rFonts w:ascii="Times New Roman" w:hAnsi="Times New Roman" w:cs="Times New Roman"/>
          <w:spacing w:val="4"/>
          <w:sz w:val="28"/>
          <w:szCs w:val="28"/>
          <w:lang w:val="es-ES"/>
        </w:rPr>
        <w:t>3</w:t>
      </w:r>
      <w:r w:rsidR="00D01222" w:rsidRPr="00692001">
        <w:rPr>
          <w:rFonts w:ascii="Times New Roman" w:hAnsi="Times New Roman" w:cs="Times New Roman"/>
          <w:spacing w:val="4"/>
          <w:sz w:val="28"/>
          <w:szCs w:val="28"/>
          <w:lang w:val="es-ES"/>
        </w:rPr>
        <w:t xml:space="preserve">. </w:t>
      </w:r>
      <w:r w:rsidR="00441018" w:rsidRPr="00692001">
        <w:rPr>
          <w:rFonts w:ascii="Times New Roman" w:hAnsi="Times New Roman" w:cs="Times New Roman"/>
          <w:spacing w:val="4"/>
          <w:sz w:val="28"/>
          <w:szCs w:val="28"/>
          <w:lang w:val="es-ES"/>
        </w:rPr>
        <w:t>Từ ngày 01 tháng 01 năm 2029</w:t>
      </w:r>
      <w:r w:rsidR="00984110" w:rsidRPr="00692001">
        <w:rPr>
          <w:rFonts w:ascii="Times New Roman" w:hAnsi="Times New Roman" w:cs="Times New Roman"/>
          <w:spacing w:val="4"/>
          <w:sz w:val="28"/>
          <w:szCs w:val="28"/>
          <w:lang w:val="es-ES"/>
        </w:rPr>
        <w:t>, k</w:t>
      </w:r>
      <w:r w:rsidR="00441018" w:rsidRPr="00692001">
        <w:rPr>
          <w:rFonts w:ascii="Times New Roman" w:hAnsi="Times New Roman" w:cs="Times New Roman"/>
          <w:spacing w:val="4"/>
          <w:sz w:val="28"/>
          <w:szCs w:val="28"/>
          <w:lang w:val="es-ES"/>
        </w:rPr>
        <w:t>hi thực hiện hoạt động mua bán, trao đổi hàng hóa qua biên giới, cư dân biên giới phải có mặt để làm thủ tục xuất nhập khẩu</w:t>
      </w:r>
      <w:r w:rsidR="006F6294" w:rsidRPr="00692001">
        <w:rPr>
          <w:rFonts w:ascii="Times New Roman" w:hAnsi="Times New Roman" w:cs="Times New Roman"/>
          <w:spacing w:val="4"/>
          <w:sz w:val="28"/>
          <w:szCs w:val="28"/>
          <w:lang w:val="es-ES"/>
        </w:rPr>
        <w:t>.</w:t>
      </w:r>
    </w:p>
    <w:p w14:paraId="7BC76E74" w14:textId="2BC563DE" w:rsidR="00D01222" w:rsidRPr="00BF25B0" w:rsidRDefault="00B64DE1" w:rsidP="00692001">
      <w:pPr>
        <w:widowControl w:val="0"/>
        <w:spacing w:before="140" w:after="0" w:line="240" w:lineRule="auto"/>
        <w:ind w:firstLine="567"/>
        <w:jc w:val="both"/>
        <w:rPr>
          <w:rFonts w:ascii="Times New Roman" w:hAnsi="Times New Roman" w:cs="Times New Roman"/>
          <w:sz w:val="28"/>
          <w:szCs w:val="28"/>
          <w:lang w:val="es-ES"/>
        </w:rPr>
      </w:pPr>
      <w:r w:rsidRPr="00BF25B0">
        <w:rPr>
          <w:rFonts w:ascii="Times New Roman" w:hAnsi="Times New Roman" w:cs="Times New Roman"/>
          <w:sz w:val="28"/>
          <w:szCs w:val="28"/>
          <w:lang w:val="es-ES"/>
        </w:rPr>
        <w:t>4</w:t>
      </w:r>
      <w:r w:rsidR="00D01222" w:rsidRPr="00BF25B0">
        <w:rPr>
          <w:rFonts w:ascii="Times New Roman" w:hAnsi="Times New Roman" w:cs="Times New Roman"/>
          <w:sz w:val="28"/>
          <w:szCs w:val="28"/>
          <w:lang w:val="es-ES"/>
        </w:rPr>
        <w:t>. Từ ngày 01 tháng 01 năm 2030, hàng hoá chỉ được làm thủ tục xuất nhập khẩu tại các cửa khẩu quốc tế</w:t>
      </w:r>
      <w:r w:rsidR="00403006" w:rsidRPr="00BF25B0">
        <w:rPr>
          <w:rFonts w:ascii="Times New Roman" w:hAnsi="Times New Roman" w:cs="Times New Roman"/>
          <w:sz w:val="28"/>
          <w:szCs w:val="28"/>
          <w:lang w:val="es-ES"/>
        </w:rPr>
        <w:t>;</w:t>
      </w:r>
      <w:r w:rsidR="00D01222" w:rsidRPr="00BF25B0">
        <w:rPr>
          <w:rFonts w:ascii="Times New Roman" w:hAnsi="Times New Roman" w:cs="Times New Roman"/>
          <w:sz w:val="28"/>
          <w:szCs w:val="28"/>
          <w:lang w:val="es-ES"/>
        </w:rPr>
        <w:t xml:space="preserve"> cửa khẩu chính (cửa khẩu song phương)</w:t>
      </w:r>
      <w:r w:rsidR="00403006" w:rsidRPr="00BF25B0">
        <w:rPr>
          <w:rFonts w:ascii="Times New Roman" w:hAnsi="Times New Roman" w:cs="Times New Roman"/>
          <w:sz w:val="28"/>
          <w:szCs w:val="28"/>
          <w:lang w:val="es-ES"/>
        </w:rPr>
        <w:t>;</w:t>
      </w:r>
      <w:r w:rsidR="00D01222" w:rsidRPr="00BF25B0">
        <w:rPr>
          <w:rFonts w:ascii="Times New Roman" w:hAnsi="Times New Roman" w:cs="Times New Roman"/>
          <w:sz w:val="28"/>
          <w:szCs w:val="28"/>
          <w:lang w:val="es-ES"/>
        </w:rPr>
        <w:t xml:space="preserve"> cửa khẩu phụ</w:t>
      </w:r>
      <w:r w:rsidR="00403006" w:rsidRPr="00BF25B0">
        <w:rPr>
          <w:rFonts w:ascii="Times New Roman" w:hAnsi="Times New Roman" w:cs="Times New Roman"/>
          <w:sz w:val="28"/>
          <w:szCs w:val="28"/>
          <w:lang w:val="es-ES"/>
        </w:rPr>
        <w:t>;</w:t>
      </w:r>
      <w:r w:rsidR="004A7013" w:rsidRPr="00BF25B0">
        <w:rPr>
          <w:rFonts w:ascii="Times New Roman" w:hAnsi="Times New Roman" w:cs="Times New Roman"/>
          <w:sz w:val="28"/>
          <w:szCs w:val="28"/>
          <w:lang w:val="es-ES"/>
        </w:rPr>
        <w:t xml:space="preserve"> lối thông quan, đường chuyên dụng vận chuyển hàng hóa thuộc cửa khẩu quốc tế, cửa khẩu chính (cửa khẩu song phương)</w:t>
      </w:r>
      <w:r w:rsidR="00403006" w:rsidRPr="00BF25B0">
        <w:rPr>
          <w:rFonts w:ascii="Times New Roman" w:hAnsi="Times New Roman" w:cs="Times New Roman"/>
          <w:sz w:val="28"/>
          <w:szCs w:val="28"/>
          <w:lang w:val="es-ES"/>
        </w:rPr>
        <w:t>;</w:t>
      </w:r>
      <w:r w:rsidR="00D01222" w:rsidRPr="00BF25B0">
        <w:rPr>
          <w:rFonts w:ascii="Times New Roman" w:hAnsi="Times New Roman" w:cs="Times New Roman"/>
          <w:sz w:val="28"/>
          <w:szCs w:val="28"/>
          <w:lang w:val="es-ES"/>
        </w:rPr>
        <w:t xml:space="preserve"> lối mở biên giới đã hoàn thành trình tự mở</w:t>
      </w:r>
      <w:r w:rsidR="00EB702A" w:rsidRPr="00BF25B0">
        <w:rPr>
          <w:rFonts w:ascii="Times New Roman" w:hAnsi="Times New Roman" w:cs="Times New Roman"/>
          <w:sz w:val="28"/>
          <w:szCs w:val="28"/>
          <w:lang w:val="es-ES"/>
        </w:rPr>
        <w:t>, nâng cấp</w:t>
      </w:r>
      <w:r w:rsidR="00D01222" w:rsidRPr="00BF25B0">
        <w:rPr>
          <w:rFonts w:ascii="Times New Roman" w:hAnsi="Times New Roman" w:cs="Times New Roman"/>
          <w:sz w:val="28"/>
          <w:szCs w:val="28"/>
          <w:lang w:val="es-ES"/>
        </w:rPr>
        <w:t xml:space="preserve"> cửa khẩu biên giới, lối mở biên giới theo quy định pháp luật hiện hành và đã đạt thỏa thuận song phương về cho phép xuất khẩu, nhập khẩu, trao đổi hàng hóa.</w:t>
      </w:r>
    </w:p>
    <w:p w14:paraId="02D7C814" w14:textId="4FDF778E" w:rsidR="004168AF" w:rsidRDefault="00B64DE1" w:rsidP="00692001">
      <w:pPr>
        <w:widowControl w:val="0"/>
        <w:spacing w:before="240" w:after="0" w:line="240" w:lineRule="auto"/>
        <w:ind w:firstLine="567"/>
        <w:jc w:val="both"/>
        <w:rPr>
          <w:rFonts w:ascii="Times New Roman" w:hAnsi="Times New Roman" w:cs="Times New Roman"/>
          <w:sz w:val="28"/>
          <w:szCs w:val="28"/>
          <w:lang w:val="es-ES"/>
        </w:rPr>
      </w:pPr>
      <w:r w:rsidRPr="00622AE9">
        <w:rPr>
          <w:rFonts w:ascii="Times New Roman" w:hAnsi="Times New Roman" w:cs="Times New Roman"/>
          <w:sz w:val="28"/>
          <w:szCs w:val="28"/>
          <w:lang w:val="es-ES"/>
        </w:rPr>
        <w:lastRenderedPageBreak/>
        <w:t>5</w:t>
      </w:r>
      <w:r w:rsidR="00677AD3" w:rsidRPr="00622AE9">
        <w:rPr>
          <w:rFonts w:ascii="Times New Roman" w:hAnsi="Times New Roman" w:cs="Times New Roman"/>
          <w:sz w:val="28"/>
          <w:szCs w:val="28"/>
          <w:lang w:val="es-ES"/>
        </w:rPr>
        <w:t xml:space="preserve">. Bộ trưởng, Thủ trưởng cơ quan ngang </w:t>
      </w:r>
      <w:r w:rsidR="00692001">
        <w:rPr>
          <w:rFonts w:ascii="Times New Roman" w:hAnsi="Times New Roman" w:cs="Times New Roman"/>
          <w:sz w:val="28"/>
          <w:szCs w:val="28"/>
          <w:lang w:val="es-ES"/>
        </w:rPr>
        <w:t>b</w:t>
      </w:r>
      <w:r w:rsidR="00677AD3" w:rsidRPr="00622AE9">
        <w:rPr>
          <w:rFonts w:ascii="Times New Roman" w:hAnsi="Times New Roman" w:cs="Times New Roman"/>
          <w:sz w:val="28"/>
          <w:szCs w:val="28"/>
          <w:lang w:val="es-ES"/>
        </w:rPr>
        <w:t xml:space="preserve">ộ, Thủ trưởng cơ quan thuộc Chính phủ, Chủ tịch </w:t>
      </w:r>
      <w:r w:rsidR="00692001">
        <w:rPr>
          <w:rFonts w:ascii="Times New Roman" w:hAnsi="Times New Roman" w:cs="Times New Roman"/>
          <w:sz w:val="28"/>
          <w:szCs w:val="28"/>
          <w:lang w:val="es-ES"/>
        </w:rPr>
        <w:t>Ủy</w:t>
      </w:r>
      <w:r w:rsidR="00677AD3" w:rsidRPr="00622AE9">
        <w:rPr>
          <w:rFonts w:ascii="Times New Roman" w:hAnsi="Times New Roman" w:cs="Times New Roman"/>
          <w:sz w:val="28"/>
          <w:szCs w:val="28"/>
          <w:lang w:val="es-ES"/>
        </w:rPr>
        <w:t xml:space="preserve"> ban nhân dân các tỉnh, thành phố trực thuộc trung ương và cơ quan, cá nhân liên quan chịu trách nhiệm thi hành Nghị định này.</w:t>
      </w:r>
      <w:r w:rsidR="00A74765">
        <w:rPr>
          <w:rFonts w:ascii="Times New Roman" w:hAnsi="Times New Roman" w:cs="Times New Roman"/>
          <w:sz w:val="28"/>
          <w:szCs w:val="28"/>
          <w:lang w:val="es-ES"/>
        </w:rPr>
        <w:t>/.</w:t>
      </w:r>
    </w:p>
    <w:p w14:paraId="2949BB08" w14:textId="77777777" w:rsidR="00692001" w:rsidRDefault="00692001" w:rsidP="00692001">
      <w:pPr>
        <w:widowControl w:val="0"/>
        <w:spacing w:before="240" w:after="0" w:line="240" w:lineRule="auto"/>
        <w:ind w:firstLine="567"/>
        <w:jc w:val="both"/>
        <w:rPr>
          <w:rFonts w:ascii="Times New Roman" w:hAnsi="Times New Roman" w:cs="Times New Roman"/>
          <w:sz w:val="28"/>
          <w:szCs w:val="28"/>
          <w:lang w:val="es-ES"/>
        </w:rPr>
      </w:pPr>
    </w:p>
    <w:tbl>
      <w:tblPr>
        <w:tblW w:w="8789" w:type="dxa"/>
        <w:tblLayout w:type="fixed"/>
        <w:tblLook w:val="01E0" w:firstRow="1" w:lastRow="1" w:firstColumn="1" w:lastColumn="1" w:noHBand="0" w:noVBand="0"/>
      </w:tblPr>
      <w:tblGrid>
        <w:gridCol w:w="5387"/>
        <w:gridCol w:w="3402"/>
      </w:tblGrid>
      <w:tr w:rsidR="00692001" w:rsidRPr="00142A5E" w14:paraId="174672DF" w14:textId="77777777" w:rsidTr="00692001">
        <w:trPr>
          <w:trHeight w:val="1666"/>
        </w:trPr>
        <w:tc>
          <w:tcPr>
            <w:tcW w:w="5387" w:type="dxa"/>
          </w:tcPr>
          <w:p w14:paraId="1BEB625D" w14:textId="4596B1EF" w:rsidR="00692001" w:rsidRDefault="00692001" w:rsidP="00692001">
            <w:pPr>
              <w:spacing w:after="0" w:line="240" w:lineRule="auto"/>
              <w:ind w:left="-108"/>
              <w:rPr>
                <w:rFonts w:ascii="Times New Roman" w:eastAsia="Times New Roman" w:hAnsi="Times New Roman" w:cs="Times New Roman"/>
                <w:szCs w:val="28"/>
              </w:rPr>
            </w:pPr>
            <w:r w:rsidRPr="00471EA7">
              <w:rPr>
                <w:rFonts w:ascii="Times New Roman" w:eastAsia="Times New Roman" w:hAnsi="Times New Roman" w:cs="Times New Roman"/>
                <w:b/>
                <w:bCs/>
                <w:i/>
                <w:iCs/>
                <w:sz w:val="24"/>
                <w:szCs w:val="28"/>
                <w:lang w:val="vi-VN"/>
              </w:rPr>
              <w:t>Nơi nhận:</w:t>
            </w:r>
            <w:r w:rsidRPr="00471EA7">
              <w:rPr>
                <w:rFonts w:ascii="Times New Roman" w:eastAsia="Times New Roman" w:hAnsi="Times New Roman" w:cs="Times New Roman"/>
                <w:b/>
                <w:bCs/>
                <w:i/>
                <w:iCs/>
                <w:szCs w:val="28"/>
                <w:lang w:val="vi-VN"/>
              </w:rPr>
              <w:br/>
            </w:r>
            <w:r w:rsidRPr="00471EA7">
              <w:rPr>
                <w:rFonts w:ascii="Times New Roman" w:eastAsia="Times New Roman" w:hAnsi="Times New Roman" w:cs="Times New Roman"/>
                <w:szCs w:val="28"/>
                <w:lang w:val="vi-VN"/>
              </w:rPr>
              <w:t>- Ban Bí thư Trung ương Đảng;</w:t>
            </w:r>
            <w:r w:rsidRPr="00471EA7">
              <w:rPr>
                <w:rFonts w:ascii="Times New Roman" w:eastAsia="Times New Roman" w:hAnsi="Times New Roman" w:cs="Times New Roman"/>
                <w:szCs w:val="28"/>
                <w:lang w:val="vi-VN"/>
              </w:rPr>
              <w:br/>
              <w:t xml:space="preserve">- </w:t>
            </w:r>
            <w:r w:rsidR="002B0F65">
              <w:rPr>
                <w:rFonts w:ascii="Times New Roman" w:eastAsia="Times New Roman" w:hAnsi="Times New Roman" w:cs="Times New Roman"/>
                <w:szCs w:val="28"/>
              </w:rPr>
              <w:t>C</w:t>
            </w:r>
            <w:r w:rsidRPr="00471EA7">
              <w:rPr>
                <w:rFonts w:ascii="Times New Roman" w:eastAsia="Times New Roman" w:hAnsi="Times New Roman" w:cs="Times New Roman"/>
                <w:szCs w:val="28"/>
                <w:lang w:val="vi-VN"/>
              </w:rPr>
              <w:t>ác Phó Thủ t</w:t>
            </w:r>
            <w:r w:rsidRPr="00471EA7">
              <w:rPr>
                <w:rFonts w:ascii="Times New Roman" w:eastAsia="Times New Roman" w:hAnsi="Times New Roman" w:cs="Times New Roman"/>
                <w:szCs w:val="28"/>
                <w:shd w:val="clear" w:color="auto" w:fill="FFFFFF"/>
                <w:lang w:val="vi-VN"/>
              </w:rPr>
              <w:t>ướ</w:t>
            </w:r>
            <w:r w:rsidRPr="00471EA7">
              <w:rPr>
                <w:rFonts w:ascii="Times New Roman" w:eastAsia="Times New Roman" w:hAnsi="Times New Roman" w:cs="Times New Roman"/>
                <w:szCs w:val="28"/>
                <w:lang w:val="vi-VN"/>
              </w:rPr>
              <w:t>ng Chính phủ;</w:t>
            </w:r>
            <w:r w:rsidRPr="00471EA7">
              <w:rPr>
                <w:rFonts w:ascii="Times New Roman" w:eastAsia="Times New Roman" w:hAnsi="Times New Roman" w:cs="Times New Roman"/>
                <w:szCs w:val="28"/>
                <w:lang w:val="vi-VN"/>
              </w:rPr>
              <w:br/>
              <w:t>- Các bộ, cơ quan ngang bộ, cơ quan thuộc Chính phủ;</w:t>
            </w:r>
            <w:r w:rsidRPr="00471EA7">
              <w:rPr>
                <w:rFonts w:ascii="Times New Roman" w:eastAsia="Times New Roman" w:hAnsi="Times New Roman" w:cs="Times New Roman"/>
                <w:szCs w:val="28"/>
                <w:lang w:val="vi-VN"/>
              </w:rPr>
              <w:br/>
              <w:t>- HĐND, UBND các tỉnh, thành phố trực thuộc trung ương;</w:t>
            </w:r>
            <w:r w:rsidRPr="00471EA7">
              <w:rPr>
                <w:rFonts w:ascii="Times New Roman" w:eastAsia="Times New Roman" w:hAnsi="Times New Roman" w:cs="Times New Roman"/>
                <w:szCs w:val="28"/>
                <w:lang w:val="vi-VN"/>
              </w:rPr>
              <w:br/>
              <w:t>- Văn phòng Trung ương và các Ban của Đảng;</w:t>
            </w:r>
            <w:r w:rsidRPr="00471EA7">
              <w:rPr>
                <w:rFonts w:ascii="Times New Roman" w:eastAsia="Times New Roman" w:hAnsi="Times New Roman" w:cs="Times New Roman"/>
                <w:szCs w:val="28"/>
                <w:lang w:val="vi-VN"/>
              </w:rPr>
              <w:br/>
              <w:t>- Văn phòng Tổng Bí thư;</w:t>
            </w:r>
            <w:r w:rsidRPr="00471EA7">
              <w:rPr>
                <w:rFonts w:ascii="Times New Roman" w:eastAsia="Times New Roman" w:hAnsi="Times New Roman" w:cs="Times New Roman"/>
                <w:szCs w:val="28"/>
                <w:lang w:val="vi-VN"/>
              </w:rPr>
              <w:br/>
              <w:t>- Văn phòng Chủ tịch nước;</w:t>
            </w:r>
            <w:r w:rsidRPr="00471EA7">
              <w:rPr>
                <w:rFonts w:ascii="Times New Roman" w:eastAsia="Times New Roman" w:hAnsi="Times New Roman" w:cs="Times New Roman"/>
                <w:szCs w:val="28"/>
                <w:lang w:val="vi-VN"/>
              </w:rPr>
              <w:br/>
              <w:t xml:space="preserve">- Hội đồng </w:t>
            </w:r>
            <w:r>
              <w:rPr>
                <w:rFonts w:ascii="Times New Roman" w:eastAsia="Times New Roman" w:hAnsi="Times New Roman" w:cs="Times New Roman"/>
                <w:szCs w:val="28"/>
              </w:rPr>
              <w:t>D</w:t>
            </w:r>
            <w:r w:rsidRPr="00471EA7">
              <w:rPr>
                <w:rFonts w:ascii="Times New Roman" w:eastAsia="Times New Roman" w:hAnsi="Times New Roman" w:cs="Times New Roman"/>
                <w:szCs w:val="28"/>
                <w:lang w:val="vi-VN"/>
              </w:rPr>
              <w:t>ân tộc và các </w:t>
            </w:r>
            <w:r w:rsidRPr="00471EA7">
              <w:rPr>
                <w:rFonts w:ascii="Times New Roman" w:eastAsia="Times New Roman" w:hAnsi="Times New Roman" w:cs="Times New Roman"/>
                <w:szCs w:val="28"/>
                <w:shd w:val="clear" w:color="auto" w:fill="FFFFFF"/>
                <w:lang w:val="vi-VN"/>
              </w:rPr>
              <w:t>Ủy ban</w:t>
            </w:r>
            <w:r w:rsidRPr="00471EA7">
              <w:rPr>
                <w:rFonts w:ascii="Times New Roman" w:eastAsia="Times New Roman" w:hAnsi="Times New Roman" w:cs="Times New Roman"/>
                <w:szCs w:val="28"/>
                <w:lang w:val="vi-VN"/>
              </w:rPr>
              <w:t> của Quốc hội;</w:t>
            </w:r>
            <w:r w:rsidRPr="00471EA7">
              <w:rPr>
                <w:rFonts w:ascii="Times New Roman" w:eastAsia="Times New Roman" w:hAnsi="Times New Roman" w:cs="Times New Roman"/>
                <w:szCs w:val="28"/>
                <w:lang w:val="vi-VN"/>
              </w:rPr>
              <w:br/>
              <w:t>- Văn phòng Quốc hội;</w:t>
            </w:r>
            <w:r w:rsidRPr="00471EA7">
              <w:rPr>
                <w:rFonts w:ascii="Times New Roman" w:eastAsia="Times New Roman" w:hAnsi="Times New Roman" w:cs="Times New Roman"/>
                <w:szCs w:val="28"/>
                <w:lang w:val="vi-VN"/>
              </w:rPr>
              <w:br/>
              <w:t>- Tòa án nhân dân tối cao;</w:t>
            </w:r>
            <w:r w:rsidRPr="00471EA7">
              <w:rPr>
                <w:rFonts w:ascii="Times New Roman" w:eastAsia="Times New Roman" w:hAnsi="Times New Roman" w:cs="Times New Roman"/>
                <w:szCs w:val="28"/>
                <w:lang w:val="vi-VN"/>
              </w:rPr>
              <w:br/>
              <w:t>- Viện kiểm sát nhân dân tối cao;</w:t>
            </w:r>
            <w:r w:rsidRPr="00471EA7">
              <w:rPr>
                <w:rFonts w:ascii="Times New Roman" w:eastAsia="Times New Roman" w:hAnsi="Times New Roman" w:cs="Times New Roman"/>
                <w:szCs w:val="28"/>
                <w:lang w:val="vi-VN"/>
              </w:rPr>
              <w:br/>
              <w:t>- Kiểm toán nhà nước;</w:t>
            </w:r>
            <w:r w:rsidRPr="00471EA7">
              <w:rPr>
                <w:rFonts w:ascii="Times New Roman" w:eastAsia="Times New Roman" w:hAnsi="Times New Roman" w:cs="Times New Roman"/>
                <w:szCs w:val="28"/>
                <w:lang w:val="vi-VN"/>
              </w:rPr>
              <w:br/>
              <w:t>- </w:t>
            </w:r>
            <w:r w:rsidRPr="00471EA7">
              <w:rPr>
                <w:rFonts w:ascii="Times New Roman" w:eastAsia="Times New Roman" w:hAnsi="Times New Roman" w:cs="Times New Roman"/>
                <w:szCs w:val="28"/>
                <w:shd w:val="clear" w:color="auto" w:fill="FFFFFF"/>
                <w:lang w:val="vi-VN"/>
              </w:rPr>
              <w:t>Ủy ban</w:t>
            </w:r>
            <w:r w:rsidRPr="00471EA7">
              <w:rPr>
                <w:rFonts w:ascii="Times New Roman" w:eastAsia="Times New Roman" w:hAnsi="Times New Roman" w:cs="Times New Roman"/>
                <w:szCs w:val="28"/>
                <w:lang w:val="vi-VN"/>
              </w:rPr>
              <w:t> Giám sát tài chính Quốc gia;</w:t>
            </w:r>
            <w:r w:rsidRPr="00471EA7">
              <w:rPr>
                <w:rFonts w:ascii="Times New Roman" w:eastAsia="Times New Roman" w:hAnsi="Times New Roman" w:cs="Times New Roman"/>
                <w:szCs w:val="28"/>
                <w:lang w:val="vi-VN"/>
              </w:rPr>
              <w:br/>
              <w:t>- Ngân hàng Chính sách xã hội;</w:t>
            </w:r>
            <w:r w:rsidRPr="00471EA7">
              <w:rPr>
                <w:rFonts w:ascii="Times New Roman" w:eastAsia="Times New Roman" w:hAnsi="Times New Roman" w:cs="Times New Roman"/>
                <w:szCs w:val="28"/>
                <w:lang w:val="vi-VN"/>
              </w:rPr>
              <w:br/>
              <w:t>- Ngân hàng Phát triển Việt Nam;</w:t>
            </w:r>
            <w:r w:rsidRPr="00471EA7">
              <w:rPr>
                <w:rFonts w:ascii="Times New Roman" w:eastAsia="Times New Roman" w:hAnsi="Times New Roman" w:cs="Times New Roman"/>
                <w:szCs w:val="28"/>
                <w:lang w:val="vi-VN"/>
              </w:rPr>
              <w:br/>
              <w:t>- </w:t>
            </w:r>
            <w:r w:rsidRPr="00471EA7">
              <w:rPr>
                <w:rFonts w:ascii="Times New Roman" w:eastAsia="Times New Roman" w:hAnsi="Times New Roman" w:cs="Times New Roman"/>
                <w:szCs w:val="28"/>
                <w:shd w:val="clear" w:color="auto" w:fill="FFFFFF"/>
                <w:lang w:val="vi-VN"/>
              </w:rPr>
              <w:t>Ủy ban</w:t>
            </w:r>
            <w:r w:rsidRPr="00471EA7">
              <w:rPr>
                <w:rFonts w:ascii="Times New Roman" w:eastAsia="Times New Roman" w:hAnsi="Times New Roman" w:cs="Times New Roman"/>
                <w:szCs w:val="28"/>
                <w:lang w:val="vi-VN"/>
              </w:rPr>
              <w:t> trung ương Mặt trận Tổ quốc Việt Nam;</w:t>
            </w:r>
            <w:r w:rsidRPr="00471EA7">
              <w:rPr>
                <w:rFonts w:ascii="Times New Roman" w:eastAsia="Times New Roman" w:hAnsi="Times New Roman" w:cs="Times New Roman"/>
                <w:szCs w:val="28"/>
                <w:lang w:val="vi-VN"/>
              </w:rPr>
              <w:br/>
              <w:t xml:space="preserve">- Cơ quan </w:t>
            </w:r>
            <w:r>
              <w:rPr>
                <w:rFonts w:ascii="Times New Roman" w:eastAsia="Times New Roman" w:hAnsi="Times New Roman" w:cs="Times New Roman"/>
                <w:szCs w:val="28"/>
              </w:rPr>
              <w:t>t</w:t>
            </w:r>
            <w:r w:rsidRPr="00471EA7">
              <w:rPr>
                <w:rFonts w:ascii="Times New Roman" w:eastAsia="Times New Roman" w:hAnsi="Times New Roman" w:cs="Times New Roman"/>
                <w:szCs w:val="28"/>
                <w:lang w:val="vi-VN"/>
              </w:rPr>
              <w:t>rung ương của các đoàn thể;</w:t>
            </w:r>
            <w:r w:rsidRPr="00471EA7">
              <w:rPr>
                <w:rFonts w:ascii="Times New Roman" w:eastAsia="Times New Roman" w:hAnsi="Times New Roman" w:cs="Times New Roman"/>
                <w:szCs w:val="28"/>
                <w:lang w:val="vi-VN"/>
              </w:rPr>
              <w:br/>
              <w:t>- Ban </w:t>
            </w:r>
            <w:r w:rsidRPr="00471EA7">
              <w:rPr>
                <w:rFonts w:ascii="Times New Roman" w:eastAsia="Times New Roman" w:hAnsi="Times New Roman" w:cs="Times New Roman"/>
                <w:szCs w:val="28"/>
                <w:shd w:val="clear" w:color="auto" w:fill="FFFFFF"/>
                <w:lang w:val="vi-VN"/>
              </w:rPr>
              <w:t>Chỉ đạo</w:t>
            </w:r>
            <w:r w:rsidRPr="00471EA7">
              <w:rPr>
                <w:rFonts w:ascii="Times New Roman" w:eastAsia="Times New Roman" w:hAnsi="Times New Roman" w:cs="Times New Roman"/>
                <w:szCs w:val="28"/>
                <w:lang w:val="vi-VN"/>
              </w:rPr>
              <w:t> Đổi mới và Phát triển doanh nghiệp;</w:t>
            </w:r>
            <w:r w:rsidRPr="00471EA7">
              <w:rPr>
                <w:rFonts w:ascii="Times New Roman" w:eastAsia="Times New Roman" w:hAnsi="Times New Roman" w:cs="Times New Roman"/>
                <w:szCs w:val="28"/>
                <w:lang w:val="vi-VN"/>
              </w:rPr>
              <w:br/>
              <w:t xml:space="preserve">- </w:t>
            </w:r>
            <w:r w:rsidRPr="00471EA7">
              <w:rPr>
                <w:rFonts w:ascii="Times New Roman" w:eastAsia="Times New Roman" w:hAnsi="Times New Roman" w:cs="Times New Roman"/>
                <w:szCs w:val="28"/>
                <w:lang w:val="zu-ZA"/>
              </w:rPr>
              <w:t>Liên đoàn</w:t>
            </w:r>
            <w:r w:rsidRPr="00471EA7">
              <w:rPr>
                <w:rFonts w:ascii="Times New Roman" w:eastAsia="Times New Roman" w:hAnsi="Times New Roman" w:cs="Times New Roman"/>
                <w:szCs w:val="28"/>
                <w:lang w:val="vi-VN"/>
              </w:rPr>
              <w:t xml:space="preserve"> Thương mại và Công nghiệp Việt Nam;</w:t>
            </w:r>
            <w:r w:rsidRPr="00471EA7">
              <w:rPr>
                <w:rFonts w:ascii="Times New Roman" w:eastAsia="Times New Roman" w:hAnsi="Times New Roman" w:cs="Times New Roman"/>
                <w:szCs w:val="28"/>
                <w:lang w:val="vi-VN"/>
              </w:rPr>
              <w:br/>
              <w:t>- Hiệp hội doanh nghiệp nhỏ và vừa Việt Nam;</w:t>
            </w:r>
            <w:r w:rsidRPr="00471EA7">
              <w:rPr>
                <w:rFonts w:ascii="Times New Roman" w:eastAsia="Times New Roman" w:hAnsi="Times New Roman" w:cs="Times New Roman"/>
                <w:szCs w:val="28"/>
                <w:lang w:val="vi-VN"/>
              </w:rPr>
              <w:br/>
              <w:t xml:space="preserve">- VPCP: BTCN, các PCN, Trợ lý TTg, TGĐ Cổng TTĐT, </w:t>
            </w:r>
            <w:r>
              <w:rPr>
                <w:rFonts w:ascii="Times New Roman" w:eastAsia="Times New Roman" w:hAnsi="Times New Roman" w:cs="Times New Roman"/>
                <w:szCs w:val="28"/>
              </w:rPr>
              <w:t xml:space="preserve"> </w:t>
            </w:r>
          </w:p>
          <w:p w14:paraId="2924BDDA" w14:textId="3029505E" w:rsidR="00692001" w:rsidRDefault="00692001" w:rsidP="00692001">
            <w:pPr>
              <w:spacing w:after="0" w:line="240" w:lineRule="auto"/>
              <w:ind w:left="-108"/>
              <w:rPr>
                <w:rFonts w:ascii="Times New Roman" w:hAnsi="Times New Roman" w:cs="Times New Roman"/>
                <w:b/>
                <w:i/>
                <w:sz w:val="24"/>
                <w:szCs w:val="24"/>
              </w:rPr>
            </w:pPr>
            <w:r>
              <w:rPr>
                <w:rFonts w:ascii="Times New Roman" w:eastAsia="Times New Roman" w:hAnsi="Times New Roman" w:cs="Times New Roman"/>
                <w:szCs w:val="28"/>
              </w:rPr>
              <w:t xml:space="preserve">  </w:t>
            </w:r>
            <w:r w:rsidRPr="00471EA7">
              <w:rPr>
                <w:rFonts w:ascii="Times New Roman" w:eastAsia="Times New Roman" w:hAnsi="Times New Roman" w:cs="Times New Roman"/>
                <w:szCs w:val="28"/>
                <w:lang w:val="vi-VN"/>
              </w:rPr>
              <w:t>các Vụ, Cục, đơn vị trực thuộc, Công báo;</w:t>
            </w:r>
            <w:r w:rsidRPr="00471EA7">
              <w:rPr>
                <w:rFonts w:ascii="Times New Roman" w:eastAsia="Times New Roman" w:hAnsi="Times New Roman" w:cs="Times New Roman"/>
                <w:szCs w:val="28"/>
                <w:lang w:val="vi-VN"/>
              </w:rPr>
              <w:br/>
              <w:t>- Lưu: VT, KTTH (</w:t>
            </w:r>
            <w:r>
              <w:rPr>
                <w:rFonts w:ascii="Times New Roman" w:eastAsia="Times New Roman" w:hAnsi="Times New Roman" w:cs="Times New Roman"/>
                <w:szCs w:val="28"/>
              </w:rPr>
              <w:t>2</w:t>
            </w:r>
            <w:r w:rsidRPr="00471EA7">
              <w:rPr>
                <w:rFonts w:ascii="Times New Roman" w:eastAsia="Times New Roman" w:hAnsi="Times New Roman" w:cs="Times New Roman"/>
                <w:szCs w:val="28"/>
                <w:lang w:val="vi-VN"/>
              </w:rPr>
              <w:t>b).</w:t>
            </w:r>
          </w:p>
          <w:p w14:paraId="01942B0B" w14:textId="77777777" w:rsidR="00692001" w:rsidRPr="00142A5E" w:rsidRDefault="00692001" w:rsidP="00255856">
            <w:pPr>
              <w:spacing w:after="0" w:line="240" w:lineRule="auto"/>
              <w:rPr>
                <w:rFonts w:ascii="Times New Roman" w:hAnsi="Times New Roman" w:cs="Times New Roman"/>
              </w:rPr>
            </w:pPr>
          </w:p>
        </w:tc>
        <w:tc>
          <w:tcPr>
            <w:tcW w:w="3402" w:type="dxa"/>
          </w:tcPr>
          <w:p w14:paraId="2C43E61E" w14:textId="24822C3C" w:rsidR="00692001" w:rsidRDefault="00692001" w:rsidP="00692001">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TM. CHÍNH PHỦ</w:t>
            </w:r>
          </w:p>
          <w:p w14:paraId="30E7C3AD" w14:textId="4F8665A7" w:rsidR="00692001" w:rsidRDefault="00692001" w:rsidP="00692001">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THỦ TƯỚNG</w:t>
            </w:r>
          </w:p>
          <w:p w14:paraId="43DFCB51" w14:textId="77777777" w:rsidR="00692001" w:rsidRPr="001A3021" w:rsidRDefault="00692001" w:rsidP="00692001">
            <w:pPr>
              <w:widowControl w:val="0"/>
              <w:autoSpaceDE w:val="0"/>
              <w:autoSpaceDN w:val="0"/>
              <w:adjustRightInd w:val="0"/>
              <w:spacing w:after="0" w:line="240" w:lineRule="auto"/>
              <w:jc w:val="center"/>
              <w:textAlignment w:val="center"/>
              <w:rPr>
                <w:b/>
                <w:sz w:val="18"/>
                <w:szCs w:val="26"/>
              </w:rPr>
            </w:pPr>
          </w:p>
          <w:p w14:paraId="7B87AD2A" w14:textId="77777777" w:rsidR="00692001" w:rsidRPr="001A3021" w:rsidRDefault="00692001" w:rsidP="00692001">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14:paraId="1F0B1866" w14:textId="77777777" w:rsidR="00692001" w:rsidRPr="001A3021" w:rsidRDefault="00692001" w:rsidP="00692001">
            <w:pPr>
              <w:widowControl w:val="0"/>
              <w:tabs>
                <w:tab w:val="left" w:pos="795"/>
              </w:tabs>
              <w:autoSpaceDE w:val="0"/>
              <w:autoSpaceDN w:val="0"/>
              <w:adjustRightInd w:val="0"/>
              <w:spacing w:after="0" w:line="240" w:lineRule="auto"/>
              <w:jc w:val="center"/>
              <w:textAlignment w:val="center"/>
              <w:rPr>
                <w:b/>
                <w:bCs/>
                <w:sz w:val="18"/>
                <w:szCs w:val="26"/>
              </w:rPr>
            </w:pPr>
            <w:r>
              <w:rPr>
                <w:b/>
                <w:bCs/>
                <w:sz w:val="18"/>
                <w:szCs w:val="26"/>
              </w:rPr>
              <w:tab/>
            </w:r>
          </w:p>
          <w:p w14:paraId="07B3C984" w14:textId="2FEDE18F" w:rsidR="00692001" w:rsidRPr="00142A5E" w:rsidRDefault="008344EC" w:rsidP="006920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Phạm Minh Chính</w:t>
            </w:r>
          </w:p>
        </w:tc>
      </w:tr>
    </w:tbl>
    <w:p w14:paraId="2CE5411E" w14:textId="3C2143F8" w:rsidR="00677AD3" w:rsidRPr="00622AE9" w:rsidRDefault="00677AD3" w:rsidP="004168AF">
      <w:pPr>
        <w:widowControl w:val="0"/>
        <w:spacing w:before="100" w:after="100" w:line="240" w:lineRule="auto"/>
        <w:jc w:val="both"/>
        <w:rPr>
          <w:rFonts w:ascii="Times New Roman" w:hAnsi="Times New Roman" w:cs="Times New Roman"/>
          <w:sz w:val="28"/>
          <w:szCs w:val="28"/>
          <w:lang w:val="es-ES"/>
        </w:rPr>
      </w:pPr>
    </w:p>
    <w:p w14:paraId="15F99350" w14:textId="77777777" w:rsidR="00E35F72" w:rsidRPr="008F2BF5" w:rsidRDefault="00E35F72" w:rsidP="0051634D">
      <w:pPr>
        <w:rPr>
          <w:sz w:val="2"/>
        </w:rPr>
      </w:pPr>
    </w:p>
    <w:sectPr w:rsidR="00E35F72" w:rsidRPr="008F2BF5" w:rsidSect="00692001">
      <w:headerReference w:type="default" r:id="rId8"/>
      <w:endnotePr>
        <w:numFmt w:val="decimal"/>
      </w:endnotePr>
      <w:pgSz w:w="11909" w:h="16834" w:code="9"/>
      <w:pgMar w:top="1418" w:right="1134" w:bottom="1134" w:left="1985" w:header="567" w:footer="567"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2E1B" w14:textId="77777777" w:rsidR="000A39B9" w:rsidRDefault="000A39B9">
      <w:pPr>
        <w:spacing w:after="0" w:line="240" w:lineRule="auto"/>
      </w:pPr>
      <w:r>
        <w:separator/>
      </w:r>
    </w:p>
  </w:endnote>
  <w:endnote w:type="continuationSeparator" w:id="0">
    <w:p w14:paraId="62DE56E7" w14:textId="77777777" w:rsidR="000A39B9" w:rsidRDefault="000A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093C" w14:textId="77777777" w:rsidR="000A39B9" w:rsidRDefault="000A39B9">
      <w:pPr>
        <w:spacing w:after="0" w:line="240" w:lineRule="auto"/>
      </w:pPr>
      <w:r>
        <w:separator/>
      </w:r>
    </w:p>
  </w:footnote>
  <w:footnote w:type="continuationSeparator" w:id="0">
    <w:p w14:paraId="709EE0F1" w14:textId="77777777" w:rsidR="000A39B9" w:rsidRDefault="000A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199673"/>
      <w:docPartObj>
        <w:docPartGallery w:val="Page Numbers (Top of Page)"/>
        <w:docPartUnique/>
      </w:docPartObj>
    </w:sdtPr>
    <w:sdtEndPr>
      <w:rPr>
        <w:rFonts w:ascii="Times New Roman" w:hAnsi="Times New Roman" w:cs="Times New Roman"/>
        <w:noProof/>
        <w:sz w:val="28"/>
        <w:szCs w:val="28"/>
      </w:rPr>
    </w:sdtEndPr>
    <w:sdtContent>
      <w:p w14:paraId="0BD0A8E2" w14:textId="7DB7F730" w:rsidR="00970860" w:rsidRPr="00692001" w:rsidRDefault="00677AD3" w:rsidP="00970860">
        <w:pPr>
          <w:pStyle w:val="Header"/>
          <w:spacing w:after="120"/>
          <w:jc w:val="center"/>
          <w:rPr>
            <w:rFonts w:ascii="Times New Roman" w:hAnsi="Times New Roman" w:cs="Times New Roman"/>
            <w:sz w:val="28"/>
            <w:szCs w:val="28"/>
          </w:rPr>
        </w:pPr>
        <w:r w:rsidRPr="00692001">
          <w:rPr>
            <w:rFonts w:ascii="Times New Roman" w:hAnsi="Times New Roman" w:cs="Times New Roman"/>
            <w:sz w:val="28"/>
            <w:szCs w:val="28"/>
          </w:rPr>
          <w:fldChar w:fldCharType="begin"/>
        </w:r>
        <w:r w:rsidRPr="00692001">
          <w:rPr>
            <w:rFonts w:ascii="Times New Roman" w:hAnsi="Times New Roman" w:cs="Times New Roman"/>
            <w:sz w:val="28"/>
            <w:szCs w:val="28"/>
          </w:rPr>
          <w:instrText xml:space="preserve"> PAGE   \* MERGEFORMAT </w:instrText>
        </w:r>
        <w:r w:rsidRPr="00692001">
          <w:rPr>
            <w:rFonts w:ascii="Times New Roman" w:hAnsi="Times New Roman" w:cs="Times New Roman"/>
            <w:sz w:val="28"/>
            <w:szCs w:val="28"/>
          </w:rPr>
          <w:fldChar w:fldCharType="separate"/>
        </w:r>
        <w:r w:rsidR="0072194E">
          <w:rPr>
            <w:rFonts w:ascii="Times New Roman" w:hAnsi="Times New Roman" w:cs="Times New Roman"/>
            <w:noProof/>
            <w:sz w:val="28"/>
            <w:szCs w:val="28"/>
          </w:rPr>
          <w:t>4</w:t>
        </w:r>
        <w:r w:rsidRPr="0069200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C8A"/>
    <w:multiLevelType w:val="hybridMultilevel"/>
    <w:tmpl w:val="27A8D3AA"/>
    <w:lvl w:ilvl="0" w:tplc="CC881B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B1"/>
    <w:rsid w:val="00017870"/>
    <w:rsid w:val="00050FE6"/>
    <w:rsid w:val="000646CD"/>
    <w:rsid w:val="000A39B9"/>
    <w:rsid w:val="000A508D"/>
    <w:rsid w:val="000B0479"/>
    <w:rsid w:val="000B07EB"/>
    <w:rsid w:val="000B376A"/>
    <w:rsid w:val="00116DBD"/>
    <w:rsid w:val="001306DC"/>
    <w:rsid w:val="00131BEE"/>
    <w:rsid w:val="00144D52"/>
    <w:rsid w:val="00171C1D"/>
    <w:rsid w:val="001D4BC8"/>
    <w:rsid w:val="001E6888"/>
    <w:rsid w:val="001F00F8"/>
    <w:rsid w:val="001F4695"/>
    <w:rsid w:val="00226A82"/>
    <w:rsid w:val="00231544"/>
    <w:rsid w:val="002844EE"/>
    <w:rsid w:val="002A1FA9"/>
    <w:rsid w:val="002A7029"/>
    <w:rsid w:val="002B0F65"/>
    <w:rsid w:val="002B5F5D"/>
    <w:rsid w:val="002D5E06"/>
    <w:rsid w:val="003164B8"/>
    <w:rsid w:val="00351DA5"/>
    <w:rsid w:val="00354CE4"/>
    <w:rsid w:val="003A4BFD"/>
    <w:rsid w:val="003D33DB"/>
    <w:rsid w:val="00401E60"/>
    <w:rsid w:val="00403006"/>
    <w:rsid w:val="004140A3"/>
    <w:rsid w:val="004168AF"/>
    <w:rsid w:val="00416EE0"/>
    <w:rsid w:val="00441018"/>
    <w:rsid w:val="00474F76"/>
    <w:rsid w:val="004A3897"/>
    <w:rsid w:val="004A7013"/>
    <w:rsid w:val="004C568E"/>
    <w:rsid w:val="004F09B5"/>
    <w:rsid w:val="00505F81"/>
    <w:rsid w:val="00510621"/>
    <w:rsid w:val="0051634D"/>
    <w:rsid w:val="005C7B65"/>
    <w:rsid w:val="005E04B1"/>
    <w:rsid w:val="005F6135"/>
    <w:rsid w:val="00606292"/>
    <w:rsid w:val="006150A9"/>
    <w:rsid w:val="00622AE9"/>
    <w:rsid w:val="00643E1F"/>
    <w:rsid w:val="00644254"/>
    <w:rsid w:val="00650958"/>
    <w:rsid w:val="00677AD3"/>
    <w:rsid w:val="00682DBF"/>
    <w:rsid w:val="00692001"/>
    <w:rsid w:val="006F19DF"/>
    <w:rsid w:val="006F364B"/>
    <w:rsid w:val="006F6294"/>
    <w:rsid w:val="00703995"/>
    <w:rsid w:val="00705AFD"/>
    <w:rsid w:val="00716C6E"/>
    <w:rsid w:val="0072194E"/>
    <w:rsid w:val="00753435"/>
    <w:rsid w:val="0079527F"/>
    <w:rsid w:val="007C4E6D"/>
    <w:rsid w:val="007C5BD4"/>
    <w:rsid w:val="008169A1"/>
    <w:rsid w:val="008213BE"/>
    <w:rsid w:val="008344EC"/>
    <w:rsid w:val="008A1027"/>
    <w:rsid w:val="008A551A"/>
    <w:rsid w:val="008D6A57"/>
    <w:rsid w:val="008F2BF5"/>
    <w:rsid w:val="008F5F8D"/>
    <w:rsid w:val="008F6966"/>
    <w:rsid w:val="009519E2"/>
    <w:rsid w:val="009664EE"/>
    <w:rsid w:val="009764F5"/>
    <w:rsid w:val="00984110"/>
    <w:rsid w:val="009B4D88"/>
    <w:rsid w:val="009D06FF"/>
    <w:rsid w:val="009E38F3"/>
    <w:rsid w:val="009E49D3"/>
    <w:rsid w:val="009E5049"/>
    <w:rsid w:val="00A03088"/>
    <w:rsid w:val="00A67091"/>
    <w:rsid w:val="00A74765"/>
    <w:rsid w:val="00A77D7B"/>
    <w:rsid w:val="00AB67AC"/>
    <w:rsid w:val="00B01B30"/>
    <w:rsid w:val="00B11ABE"/>
    <w:rsid w:val="00B22EDF"/>
    <w:rsid w:val="00B30048"/>
    <w:rsid w:val="00B37594"/>
    <w:rsid w:val="00B60586"/>
    <w:rsid w:val="00B63762"/>
    <w:rsid w:val="00B64DE1"/>
    <w:rsid w:val="00B974A4"/>
    <w:rsid w:val="00BB13AB"/>
    <w:rsid w:val="00BF25B0"/>
    <w:rsid w:val="00C44783"/>
    <w:rsid w:val="00C71A96"/>
    <w:rsid w:val="00C73706"/>
    <w:rsid w:val="00CB1FAB"/>
    <w:rsid w:val="00CB39FF"/>
    <w:rsid w:val="00CC24F8"/>
    <w:rsid w:val="00D01222"/>
    <w:rsid w:val="00D11327"/>
    <w:rsid w:val="00D233F9"/>
    <w:rsid w:val="00D56756"/>
    <w:rsid w:val="00D6652E"/>
    <w:rsid w:val="00D9778E"/>
    <w:rsid w:val="00DB33B8"/>
    <w:rsid w:val="00DC3EFF"/>
    <w:rsid w:val="00DE5878"/>
    <w:rsid w:val="00E357C6"/>
    <w:rsid w:val="00E35F72"/>
    <w:rsid w:val="00E40313"/>
    <w:rsid w:val="00E4495B"/>
    <w:rsid w:val="00E55520"/>
    <w:rsid w:val="00E63576"/>
    <w:rsid w:val="00EA5025"/>
    <w:rsid w:val="00EB702A"/>
    <w:rsid w:val="00F26F59"/>
    <w:rsid w:val="00F43481"/>
    <w:rsid w:val="00FD14BA"/>
    <w:rsid w:val="00FF2558"/>
    <w:rsid w:val="00FF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4193"/>
  <w15:chartTrackingRefBased/>
  <w15:docId w15:val="{8433D0A4-55B1-46B1-B10B-A451127D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77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firstLine="567"/>
      <w:jc w:val="both"/>
    </w:pPr>
    <w:rPr>
      <w:rFonts w:ascii=".VnTime" w:eastAsia="SimSun" w:hAnsi=".VnTime" w:cs="Times New Roman"/>
      <w:sz w:val="24"/>
      <w:szCs w:val="20"/>
      <w:lang w:eastAsia="en-US"/>
    </w:rPr>
  </w:style>
  <w:style w:type="character" w:customStyle="1" w:styleId="BodyTextIndent3Char">
    <w:name w:val="Body Text Indent 3 Char"/>
    <w:basedOn w:val="DefaultParagraphFont"/>
    <w:link w:val="BodyTextIndent3"/>
    <w:rsid w:val="00677AD3"/>
    <w:rPr>
      <w:rFonts w:ascii=".VnTime" w:eastAsia="SimSun" w:hAnsi=".VnTime" w:cs="Times New Roman"/>
      <w:sz w:val="24"/>
      <w:szCs w:val="20"/>
    </w:rPr>
  </w:style>
  <w:style w:type="paragraph" w:customStyle="1" w:styleId="s5">
    <w:name w:val="s5"/>
    <w:basedOn w:val="Normal"/>
    <w:rsid w:val="00677AD3"/>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Header">
    <w:name w:val="header"/>
    <w:basedOn w:val="Normal"/>
    <w:link w:val="HeaderChar"/>
    <w:uiPriority w:val="99"/>
    <w:unhideWhenUsed/>
    <w:rsid w:val="00677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AD3"/>
    <w:rPr>
      <w:rFonts w:eastAsiaTheme="minorEastAsia"/>
      <w:lang w:eastAsia="zh-CN"/>
    </w:rPr>
  </w:style>
  <w:style w:type="paragraph" w:styleId="ListParagraph">
    <w:name w:val="List Paragraph"/>
    <w:basedOn w:val="Normal"/>
    <w:uiPriority w:val="34"/>
    <w:qFormat/>
    <w:rsid w:val="00677AD3"/>
    <w:pPr>
      <w:ind w:left="720"/>
      <w:contextualSpacing/>
    </w:pPr>
  </w:style>
  <w:style w:type="table" w:styleId="TableGrid">
    <w:name w:val="Table Grid"/>
    <w:basedOn w:val="TableNormal"/>
    <w:uiPriority w:val="39"/>
    <w:rsid w:val="00677AD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F8"/>
    <w:rPr>
      <w:rFonts w:ascii="Segoe UI" w:eastAsiaTheme="minorEastAsia" w:hAnsi="Segoe UI" w:cs="Segoe UI"/>
      <w:sz w:val="18"/>
      <w:szCs w:val="18"/>
      <w:lang w:eastAsia="zh-CN"/>
    </w:rPr>
  </w:style>
  <w:style w:type="character" w:styleId="Emphasis">
    <w:name w:val="Emphasis"/>
    <w:basedOn w:val="DefaultParagraphFont"/>
    <w:uiPriority w:val="20"/>
    <w:qFormat/>
    <w:rsid w:val="00CC24F8"/>
    <w:rPr>
      <w:i/>
      <w:iCs/>
    </w:rPr>
  </w:style>
  <w:style w:type="character" w:styleId="Hyperlink">
    <w:name w:val="Hyperlink"/>
    <w:basedOn w:val="DefaultParagraphFont"/>
    <w:uiPriority w:val="99"/>
    <w:semiHidden/>
    <w:unhideWhenUsed/>
    <w:rsid w:val="00D56756"/>
    <w:rPr>
      <w:color w:val="0000FF"/>
      <w:u w:val="single"/>
    </w:rPr>
  </w:style>
  <w:style w:type="paragraph" w:styleId="Footer">
    <w:name w:val="footer"/>
    <w:basedOn w:val="Normal"/>
    <w:link w:val="FooterChar"/>
    <w:uiPriority w:val="99"/>
    <w:unhideWhenUsed/>
    <w:rsid w:val="00FF6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C9"/>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6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Quyen-dan-su/Luat-Nhap-canh-xuat-canh-qua-canh-cu-tru-cua-nguoi-nuoc-ngoai-tai-Viet-Nam-sua-doi-2019-422706.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791AA-4527-4408-AD1B-8029E0ACDECF}"/>
</file>

<file path=customXml/itemProps2.xml><?xml version="1.0" encoding="utf-8"?>
<ds:datastoreItem xmlns:ds="http://schemas.openxmlformats.org/officeDocument/2006/customXml" ds:itemID="{24F38A90-E48C-4CCE-935E-0DCB1A2C5F0C}"/>
</file>

<file path=customXml/itemProps3.xml><?xml version="1.0" encoding="utf-8"?>
<ds:datastoreItem xmlns:ds="http://schemas.openxmlformats.org/officeDocument/2006/customXml" ds:itemID="{63A6EFFD-16D6-4C41-9E76-119A3923EC83}"/>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(Ban Thi Mai)</cp:lastModifiedBy>
  <cp:revision>2</cp:revision>
  <cp:lastPrinted>2024-08-29T03:13:00Z</cp:lastPrinted>
  <dcterms:created xsi:type="dcterms:W3CDTF">2024-11-07T21:52:00Z</dcterms:created>
  <dcterms:modified xsi:type="dcterms:W3CDTF">2024-11-07T21:52:00Z</dcterms:modified>
</cp:coreProperties>
</file>